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CARLOS ROBERTO COELHO DE MATTOS JÚNIOR - CARLOS JORDY</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00094/2018</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Institui o Programa de catalogação dos bens imóveis do Município de Niterói.</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Art. 1º – A cada 3 (três) anos o Município fará catalogação de todos os bens imóveis especiais e dominicais de sua propriedade, que estejam sob sua posse ou que sobre os quais exista qualquer direito real.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§1º – Excluem-se da catalogação as ruas, avenidas, praças e outros bens de uso comum do povo.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§2º – Incluem-se na catalogação os bens deixados como herança jacente, mesmo que aguardando declaração de vacância.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 A catalogação não poderá ter prazo superior a um ano.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3º – O Município pode realizar a catalogação por meios próprios ou valer-se da contratação de tal serviço, mediante as regras de licitação.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§1º – Se feita por meios próprios, o Município deverá formar comissão de servidores integrada por servidores estáveis, que em nenhuma hipótese serão responsabilizados por críticas feitas à gestão do Município.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§2º – Os servidores da Comissão devem pertencer a diferentes secretariais e serão indicados: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I – 2 (dois) pelo Prefeito;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II – 2 (dois) pela Câmara Municipal;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III – 2 (dois) pelo Conselho Municipal de Políticas Urbanas (COMPUR).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§3° - Serão indicados suplentes, em igual número e pelos mesmos legitimados.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§4° - Se a catalogação for feita por contratação de ente privado, além da observância às regras de licitação, o contratado manterá o andamento dos trabalhos em sigilo e só os divulgará no relatório final.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§5° - Se a Comissão ou o contratado Geral do Município perceber a ocorrência de algum crime durante a realização do relatório, notificará de imediato e sem necessidade de consulta hierárquica, o Ministério Público do Estado do Rio de Janeiro.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4º – Terminada a catalogação, será divulgado relatório final, publicado no Diário Oficial.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§1° - Cópia do relatório final ficará disponível, no Portal da Transparência do Município na Internet, podendo ser livremente acessado por qualquer pessoa, sem necessidade de identificação.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§2° - Cópia do relatório final será enviado ao Prefeito, ao presidente da Câmara dos Vereadores e ao presidente do Conselho Municipal de Políticas Urbanas (COMPUR).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5º – O relatório final conterá: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 – Lista de todos os bens imóveis do Município que estejam nas condições </w:t>
      </w:r>
      <w:r>
        <w:rPr>
          <w:rFonts w:asciiTheme="minorHAnsi" w:hAnsiTheme="minorHAnsi" w:cstheme="minorHAnsi"/>
          <w:sz w:val="24"/>
        </w:rPr>
        <w:tab/>
      </w:r>
      <w:r>
        <w:rPr>
          <w:rFonts w:asciiTheme="minorHAnsi" w:hAnsiTheme="minorHAnsi" w:cstheme="minorHAnsi"/>
          <w:sz w:val="24"/>
        </w:rPr>
        <w:t>do art. 1º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II – Sua localização precisa, com o nome da Rua, Número, Bairro e CEP.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III  - Os seus dados no registro imobiliário, quando houver registro;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IV – Informações atualizadas sobre qualquer invasão por parte de pessoas </w:t>
      </w:r>
      <w:r>
        <w:rPr>
          <w:rFonts w:asciiTheme="minorHAnsi" w:hAnsiTheme="minorHAnsi" w:cstheme="minorHAnsi"/>
          <w:sz w:val="24"/>
        </w:rPr>
        <w:tab/>
      </w:r>
      <w:r>
        <w:rPr>
          <w:rFonts w:asciiTheme="minorHAnsi" w:hAnsiTheme="minorHAnsi" w:cstheme="minorHAnsi"/>
          <w:sz w:val="24"/>
        </w:rPr>
        <w:t xml:space="preserve">ou grupos organizados, ou informações sobre tentativa ou intenção de </w:t>
      </w:r>
      <w:r>
        <w:rPr>
          <w:rFonts w:asciiTheme="minorHAnsi" w:hAnsiTheme="minorHAnsi" w:cstheme="minorHAnsi"/>
          <w:sz w:val="24"/>
        </w:rPr>
        <w:tab/>
      </w:r>
      <w:r>
        <w:rPr>
          <w:rFonts w:asciiTheme="minorHAnsi" w:hAnsiTheme="minorHAnsi" w:cstheme="minorHAnsi"/>
          <w:sz w:val="24"/>
        </w:rPr>
        <w:t>invasão;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V – O nome do órgão que usa o imóvel;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VI – O valor de mercado do imóvel;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VII – As condições de conservação do imóvel, os custos estimados para </w:t>
      </w:r>
      <w:r>
        <w:rPr>
          <w:rFonts w:asciiTheme="minorHAnsi" w:hAnsiTheme="minorHAnsi" w:cstheme="minorHAnsi"/>
          <w:sz w:val="24"/>
        </w:rPr>
        <w:tab/>
      </w:r>
      <w:r>
        <w:rPr>
          <w:rFonts w:asciiTheme="minorHAnsi" w:hAnsiTheme="minorHAnsi" w:cstheme="minorHAnsi"/>
          <w:sz w:val="24"/>
        </w:rPr>
        <w:t xml:space="preserve">pô-lo em boas condições e os riscos que a possível má conservação </w:t>
      </w:r>
      <w:r>
        <w:rPr>
          <w:rFonts w:asciiTheme="minorHAnsi" w:hAnsiTheme="minorHAnsi" w:cstheme="minorHAnsi"/>
          <w:sz w:val="24"/>
        </w:rPr>
        <w:tab/>
      </w:r>
      <w:r>
        <w:rPr>
          <w:rFonts w:asciiTheme="minorHAnsi" w:hAnsiTheme="minorHAnsi" w:cstheme="minorHAnsi"/>
          <w:sz w:val="24"/>
        </w:rPr>
        <w:t>apresentam para o imóvel, imóveis adjacentes e para os transeuntes;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VIII – Se há locação, comodato ou qualquer direito real ou pessoal que </w:t>
      </w:r>
      <w:r>
        <w:rPr>
          <w:rFonts w:asciiTheme="minorHAnsi" w:hAnsiTheme="minorHAnsi" w:cstheme="minorHAnsi"/>
          <w:sz w:val="24"/>
        </w:rPr>
        <w:tab/>
      </w:r>
      <w:r>
        <w:rPr>
          <w:rFonts w:asciiTheme="minorHAnsi" w:hAnsiTheme="minorHAnsi" w:cstheme="minorHAnsi"/>
          <w:sz w:val="24"/>
        </w:rPr>
        <w:t>incide sobre o imóvel;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IX – Se convém ao órgão público permanecer no imóvel, considerando o </w:t>
      </w:r>
      <w:r>
        <w:rPr>
          <w:rFonts w:asciiTheme="minorHAnsi" w:hAnsiTheme="minorHAnsi" w:cstheme="minorHAnsi"/>
          <w:sz w:val="24"/>
        </w:rPr>
        <w:tab/>
      </w:r>
      <w:r>
        <w:rPr>
          <w:rFonts w:asciiTheme="minorHAnsi" w:hAnsiTheme="minorHAnsi" w:cstheme="minorHAnsi"/>
          <w:sz w:val="24"/>
        </w:rPr>
        <w:t>serviço prestado e a facilidade de acesso do povo;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X – Os custos, mesmo que estimados, anuais ao Município quanto à </w:t>
      </w:r>
      <w:r>
        <w:rPr>
          <w:rFonts w:asciiTheme="minorHAnsi" w:hAnsiTheme="minorHAnsi" w:cstheme="minorHAnsi"/>
          <w:sz w:val="24"/>
        </w:rPr>
        <w:tab/>
      </w:r>
      <w:r>
        <w:rPr>
          <w:rFonts w:asciiTheme="minorHAnsi" w:hAnsiTheme="minorHAnsi" w:cstheme="minorHAnsi"/>
          <w:sz w:val="24"/>
        </w:rPr>
        <w:t xml:space="preserve">conservação do imóvel, sua eventual reforma e manutenção, bem como as </w:t>
      </w:r>
      <w:r>
        <w:rPr>
          <w:rFonts w:asciiTheme="minorHAnsi" w:hAnsiTheme="minorHAnsi" w:cstheme="minorHAnsi"/>
          <w:sz w:val="24"/>
        </w:rPr>
        <w:tab/>
      </w:r>
      <w:r>
        <w:rPr>
          <w:rFonts w:asciiTheme="minorHAnsi" w:hAnsiTheme="minorHAnsi" w:cstheme="minorHAnsi"/>
          <w:sz w:val="24"/>
        </w:rPr>
        <w:t xml:space="preserve">receitas, mesmo que estimadas, que eventualmente seriam geradas pela </w:t>
      </w:r>
      <w:r>
        <w:rPr>
          <w:rFonts w:asciiTheme="minorHAnsi" w:hAnsiTheme="minorHAnsi" w:cstheme="minorHAnsi"/>
          <w:sz w:val="24"/>
        </w:rPr>
        <w:tab/>
      </w:r>
      <w:r>
        <w:rPr>
          <w:rFonts w:asciiTheme="minorHAnsi" w:hAnsiTheme="minorHAnsi" w:cstheme="minorHAnsi"/>
          <w:sz w:val="24"/>
        </w:rPr>
        <w:t>venda do imóvel.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XI – O nível de utilização do imóvel.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§1° - O nível de utilização do imóvel será classificado em uma escala de 1 </w:t>
      </w:r>
      <w:r>
        <w:rPr>
          <w:rFonts w:asciiTheme="minorHAnsi" w:hAnsiTheme="minorHAnsi" w:cstheme="minorHAnsi"/>
          <w:sz w:val="24"/>
        </w:rPr>
        <w:tab/>
      </w:r>
      <w:r>
        <w:rPr>
          <w:rFonts w:asciiTheme="minorHAnsi" w:hAnsiTheme="minorHAnsi" w:cstheme="minorHAnsi"/>
          <w:sz w:val="24"/>
        </w:rPr>
        <w:t>(um) a 5 (cinco), significando: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I – 1 (um): imóvel abandonado ou invadido;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II – 2 (dois): imóvel sem uso, mas com utilização possível;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III – 3 (três): imóvel subutilizado, locado por preço aquém do real ou </w:t>
      </w:r>
      <w:r>
        <w:rPr>
          <w:rFonts w:asciiTheme="minorHAnsi" w:hAnsiTheme="minorHAnsi" w:cstheme="minorHAnsi"/>
          <w:sz w:val="24"/>
        </w:rPr>
        <w:tab/>
      </w:r>
      <w:r>
        <w:rPr>
          <w:rFonts w:asciiTheme="minorHAnsi" w:hAnsiTheme="minorHAnsi" w:cstheme="minorHAnsi"/>
          <w:sz w:val="24"/>
        </w:rPr>
        <w:t>dado em comodato que não mais se justifica;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IV – 4 (quatro): imóvel utilizado normalmente, mas o usuário pode </w:t>
      </w:r>
      <w:r>
        <w:rPr>
          <w:rFonts w:asciiTheme="minorHAnsi" w:hAnsiTheme="minorHAnsi" w:cstheme="minorHAnsi"/>
          <w:sz w:val="24"/>
        </w:rPr>
        <w:tab/>
      </w:r>
      <w:r>
        <w:rPr>
          <w:rFonts w:asciiTheme="minorHAnsi" w:hAnsiTheme="minorHAnsi" w:cstheme="minorHAnsi"/>
          <w:sz w:val="24"/>
        </w:rPr>
        <w:t xml:space="preserve">mudar-se para outro imóvel de forma mais conveniente e menos onerosa </w:t>
      </w:r>
      <w:r>
        <w:rPr>
          <w:rFonts w:asciiTheme="minorHAnsi" w:hAnsiTheme="minorHAnsi" w:cstheme="minorHAnsi"/>
          <w:sz w:val="24"/>
        </w:rPr>
        <w:tab/>
      </w:r>
      <w:r>
        <w:rPr>
          <w:rFonts w:asciiTheme="minorHAnsi" w:hAnsiTheme="minorHAnsi" w:cstheme="minorHAnsi"/>
          <w:sz w:val="24"/>
        </w:rPr>
        <w:t>para o Município;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V – 5 (cinco): imóvel utilizado normalmente, sem que o usuário possa </w:t>
      </w:r>
      <w:r>
        <w:rPr>
          <w:rFonts w:asciiTheme="minorHAnsi" w:hAnsiTheme="minorHAnsi" w:cstheme="minorHAnsi"/>
          <w:sz w:val="24"/>
        </w:rPr>
        <w:tab/>
      </w:r>
      <w:r>
        <w:rPr>
          <w:rFonts w:asciiTheme="minorHAnsi" w:hAnsiTheme="minorHAnsi" w:cstheme="minorHAnsi"/>
          <w:sz w:val="24"/>
        </w:rPr>
        <w:t xml:space="preserve">mudar-se sem causar dano à continuidade dos serviços públicos, ao </w:t>
      </w:r>
      <w:r>
        <w:rPr>
          <w:rFonts w:asciiTheme="minorHAnsi" w:hAnsiTheme="minorHAnsi" w:cstheme="minorHAnsi"/>
          <w:sz w:val="24"/>
        </w:rPr>
        <w:tab/>
      </w:r>
      <w:r>
        <w:rPr>
          <w:rFonts w:asciiTheme="minorHAnsi" w:hAnsiTheme="minorHAnsi" w:cstheme="minorHAnsi"/>
          <w:sz w:val="24"/>
        </w:rPr>
        <w:t>acesso pelo povo e à memória e cultura do Município.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§2° - Bens deixados em herança jacente ou que, por algum motivo, não possam ser classificados, serão classificados como “nível de utilização excepcional”, sendo que os motivos específicos pelos quais não pode haver classificação constarão do relatório.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6º – Em caso de constatação de invasão ou ameaça possessória, a Procuradoria-Geral do Município será imediatamente comunicada, sem necessidade de aguardar a publicação do relatório final, para que inicie as medidas administrativas ou judiciais cabíveis, independentemente de autorização do Prefeito ou do Secretário a que estiver vinculada a área ou imóvel invadido.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§1º – O órgão responsável pela análise enviará cópia de todos os elementos que atestam a invasão à Procuradoria-Geral do Município, que tomará as medidas cabíveis, com máxima brevidade.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§2° - O procurador do Município que ficar incumbido da tarefa agirá com máxima prioridade e sem necessidade de qualquer autorização hierárquica, sob pena de responsabilização funcional.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§3° - As medidas judiciais de proteção possessória não impedem que o Município utilize de força para defender a posse, quando a lei permitir.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7º – O relatório conterá sugestão, que não vincula o Poder Executivo, a respeito da utilização dos imóveis com base nos dados coletados, tais como: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 – Possibilidade de mudança na localização de órgãos públicos, para que </w:t>
      </w:r>
      <w:r>
        <w:rPr>
          <w:rFonts w:asciiTheme="minorHAnsi" w:hAnsiTheme="minorHAnsi" w:cstheme="minorHAnsi"/>
          <w:sz w:val="24"/>
        </w:rPr>
        <w:tab/>
      </w:r>
      <w:r>
        <w:rPr>
          <w:rFonts w:asciiTheme="minorHAnsi" w:hAnsiTheme="minorHAnsi" w:cstheme="minorHAnsi"/>
          <w:sz w:val="24"/>
        </w:rPr>
        <w:t>fiquem mais acessíveis ao povo.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II – Melhorias na gestão patrimonial dos imóveis, de forma a prevenir e </w:t>
      </w:r>
      <w:r>
        <w:rPr>
          <w:rFonts w:asciiTheme="minorHAnsi" w:hAnsiTheme="minorHAnsi" w:cstheme="minorHAnsi"/>
          <w:sz w:val="24"/>
        </w:rPr>
        <w:tab/>
      </w:r>
      <w:r>
        <w:rPr>
          <w:rFonts w:asciiTheme="minorHAnsi" w:hAnsiTheme="minorHAnsi" w:cstheme="minorHAnsi"/>
          <w:sz w:val="24"/>
        </w:rPr>
        <w:t>combater invasões e deterioração;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III – Manutenção de imóveis que pertencem ao patrimônio histórico e </w:t>
      </w:r>
      <w:r>
        <w:rPr>
          <w:rFonts w:asciiTheme="minorHAnsi" w:hAnsiTheme="minorHAnsi" w:cstheme="minorHAnsi"/>
          <w:sz w:val="24"/>
        </w:rPr>
        <w:tab/>
      </w:r>
      <w:r>
        <w:rPr>
          <w:rFonts w:asciiTheme="minorHAnsi" w:hAnsiTheme="minorHAnsi" w:cstheme="minorHAnsi"/>
          <w:sz w:val="24"/>
        </w:rPr>
        <w:t>cultural da cidade;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 xml:space="preserve">IV – Conveniência da desafetação e venda, por meio do procedimento de </w:t>
      </w:r>
      <w:r>
        <w:rPr>
          <w:rFonts w:asciiTheme="minorHAnsi" w:hAnsiTheme="minorHAnsi" w:cstheme="minorHAnsi"/>
          <w:sz w:val="24"/>
        </w:rPr>
        <w:tab/>
      </w:r>
      <w:r>
        <w:rPr>
          <w:rFonts w:asciiTheme="minorHAnsi" w:hAnsiTheme="minorHAnsi" w:cstheme="minorHAnsi"/>
          <w:sz w:val="24"/>
        </w:rPr>
        <w:t xml:space="preserve">licitação adequado, de imóveis subutilizados, ou sua cessão a outros entes </w:t>
      </w:r>
      <w:r>
        <w:rPr>
          <w:rFonts w:asciiTheme="minorHAnsi" w:hAnsiTheme="minorHAnsi" w:cstheme="minorHAnsi"/>
          <w:sz w:val="24"/>
        </w:rPr>
        <w:tab/>
      </w:r>
      <w:r>
        <w:rPr>
          <w:rFonts w:asciiTheme="minorHAnsi" w:hAnsiTheme="minorHAnsi" w:cstheme="minorHAnsi"/>
          <w:sz w:val="24"/>
        </w:rPr>
        <w:t xml:space="preserve">federativos ou particulares, segundo os ditames da legislação vigente </w:t>
      </w:r>
      <w:r>
        <w:rPr>
          <w:rFonts w:asciiTheme="minorHAnsi" w:hAnsiTheme="minorHAnsi" w:cstheme="minorHAnsi"/>
          <w:sz w:val="24"/>
        </w:rPr>
        <w:tab/>
      </w:r>
      <w:r>
        <w:rPr>
          <w:rFonts w:asciiTheme="minorHAnsi" w:hAnsiTheme="minorHAnsi" w:cstheme="minorHAnsi"/>
          <w:sz w:val="24"/>
        </w:rPr>
        <w:t>aplicável.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8º – O relatório final atribuirá nota geral, logo no seu início e em destaque, de 0 (zero) a 10 (dez), com possibilidade do uso de um decimal, para a gestão patrimonial do Município.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9º – O primeiro relatório será apresentado em no máximo 2 (dois) anos da entrada em vigor desta Lei.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10 – Esta Lei entra em vigor 60 (sessenta) dias após a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O presente projeto visa instituir um sistema de avaliação e catalogação dos imóveis públicos, a fim de avaliar a sua ocupação, o seu estado de conservação, o seu valor e o risco de serem invadidos. O objetivo é permitir ao Município e aos órgãos de controle uma gestão mais profissionalizada. Também se pretende coibir qualquer prática de invasão e dar ao Município formas mais rápidas de repeli-las.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A atual situação dos imóveis municipais, que faz com que existam diversos imóveis sem qualquer destino ou subutilização de imóveis públicos por órgãos ociosos, facilita a especulação imobiliária e a invasão de imóveis por grupos organizados.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b/>
      </w:r>
      <w:r>
        <w:rPr>
          <w:rFonts w:asciiTheme="minorHAnsi" w:hAnsiTheme="minorHAnsi" w:cstheme="minorHAnsi"/>
          <w:sz w:val="24"/>
        </w:rPr>
        <w:t>O projeto também exige que seja feito um relatório público de catalogação dos imóveis, a fim de que seja avaliada a conveniência de mantê-los, reformá-los ou vendê-los.</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3 de Maio de 2018</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CARLOS ROBERTO COELHO DE MATTOS JÚNIOR - CARLOS JORDY</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