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RICARDO EVANGELISTA LÍRIO</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Requerimento Nº 00023/2018</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Requer do Exmo Senhor Prefeito Rodrigo Neves, informações sobre aspectos do Projeto de Lei Nº 158/2016.</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Requeiro à Mesa Diretora, nos termos do Artigo 128, §3, Inciso X, do Regimento Interno da Câmara Municipal de Niterói, ouvido o Douto Plenário, que seja oficiado Excelentíssimo Senhor Prefeito de Niterói, junto ao Seu Chefe de Gabinete, para prestar informações, nos seguintes termos: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Esclarecer se foi abandonada a hipótese de emprego dos CEPACs para esta finalidade, a despeito da sua maior efetividade econômico-financeira, enquanto instrumento de transformação do espaço urbano.
</w:t>
      </w:r>
      <w:r>
        <w:rPr>
          <w:rFonts w:asciiTheme="minorHAnsi" w:hAnsiTheme="minorHAnsi" w:cstheme="minorHAnsi"/>
          <w:sz w:val="24"/>
        </w:rPr>
        <w:br/>
      </w:r>
      <w:r>
        <w:rPr>
          <w:rFonts w:asciiTheme="minorHAnsi" w:hAnsiTheme="minorHAnsi" w:cstheme="minorHAnsi"/>
          <w:sz w:val="24"/>
        </w:rPr>
        <w:t>- Informar se há interesse em aperfeiçoar o Projeto de Lei em Tela, ampliando e vivicando a adoção do instrumento CEPAC no âmbito da Operação Urbana Consorciada da Área Central de Niterói.</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Trata-se de Projeto de Lei, que tem por fialidade a modificação do prazo para aprovação de projetos utilizando a Outorga Onerosa na área de abrangência da Operação Urbana Consorciada da Área Central de Niterói, apresentado pelo Exmo. Sr. Prefeito do Município de Niterói, em regime de urgência conforme artigo 51 da Lei Orgânica do Município de Niterói.
</w:t>
      </w:r>
      <w:r>
        <w:rPr>
          <w:rFonts w:asciiTheme="minorHAnsi" w:hAnsiTheme="minorHAnsi" w:cstheme="minorHAnsi"/>
          <w:sz w:val="24"/>
        </w:rPr>
        <w:br/>
      </w:r>
      <w:r>
        <w:rPr>
          <w:rFonts w:asciiTheme="minorHAnsi" w:hAnsiTheme="minorHAnsi" w:cstheme="minorHAnsi"/>
          <w:sz w:val="24"/>
        </w:rPr>
        <w:t>Nesse sentido, o artigo 17 da Lei 3061 de 03 de dezembro de 2013 assim se pronuncia:
</w:t>
      </w:r>
      <w:r>
        <w:rPr>
          <w:rFonts w:asciiTheme="minorHAnsi" w:hAnsiTheme="minorHAnsi" w:cstheme="minorHAnsi"/>
          <w:sz w:val="24"/>
        </w:rPr>
        <w:br/>
      </w:r>
      <w:r>
        <w:rPr>
          <w:rFonts w:asciiTheme="minorHAnsi" w:hAnsiTheme="minorHAnsi" w:cstheme="minorHAnsi"/>
          <w:sz w:val="24"/>
        </w:rPr>
        <w:t>Art. 17. O Poder Público poderá utilizar, além dos instrumentos previstos no Plano Diretor do Município de Niterói, nesta Lei e na legislação federal correlata, exemplificativamente os seguintes instrumentos de política urbana, previstos na Lei Federal nº 10.257, de 2001: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3º O prazo para aprovação de projetos com utilização da Outorga Onerosa do Direito de Construir e de Alteração de Uso do Solo é 31 de dezembro de 2016, data a partir da qual não serão mais admitidas aprovações de projetos na Área de Abrangência da OUC que utilizem esses instrumentos.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O Projeto de Lei em tela tem a finalidade de autorizar o Poder Executivo a modificar o prazo para aprovação de projetos utilizando a outorga onerosa na área de abrangência da Operação Urbana Consorciada da Área Central de Niterói.
</w:t>
      </w:r>
      <w:r>
        <w:rPr>
          <w:rFonts w:asciiTheme="minorHAnsi" w:hAnsiTheme="minorHAnsi" w:cstheme="minorHAnsi"/>
          <w:sz w:val="24"/>
        </w:rPr>
        <w:br/>
      </w:r>
      <w:r>
        <w:rPr>
          <w:rFonts w:asciiTheme="minorHAnsi" w:hAnsiTheme="minorHAnsi" w:cstheme="minorHAnsi"/>
          <w:sz w:val="24"/>
        </w:rPr>
        <w:t>O Chefe do Poder Executivo acrescenta a informação de que, em virtude das mudanças no contexto econômico nacional e internacional ocorridas nos últimos 36 meses, o Executivo agora se vê obrigado a aperfeiçoar a OPERAÇÃO URBANA CONSORCIADA adequando-a a uma nova realidade.
</w:t>
      </w:r>
      <w:r>
        <w:rPr>
          <w:rFonts w:asciiTheme="minorHAnsi" w:hAnsiTheme="minorHAnsi" w:cstheme="minorHAnsi"/>
          <w:sz w:val="24"/>
        </w:rPr>
        <w:br/>
      </w:r>
      <w:r>
        <w:rPr>
          <w:rFonts w:asciiTheme="minorHAnsi" w:hAnsiTheme="minorHAnsi" w:cstheme="minorHAnsi"/>
          <w:sz w:val="24"/>
        </w:rPr>
        <w:t>Todavia, a Lei 3.236/2016 alterou a 3061/13, no sentido de que não seriam mais admissíveis a OUTORGA ONEROSA DO DIREITO DE CONSTRUIR e DA ALTERAÇÃO DO SOLO a partir de 31 de Dezembro de 2016, data a partir da qual não seriam mais admitidos aprovações de projetos na área de abrangência da OPERAÇÃO URBANA CONSORCIADA.
</w:t>
      </w:r>
      <w:r>
        <w:rPr>
          <w:rFonts w:asciiTheme="minorHAnsi" w:hAnsiTheme="minorHAnsi" w:cstheme="minorHAnsi"/>
          <w:sz w:val="24"/>
        </w:rPr>
        <w:br/>
      </w:r>
      <w:r>
        <w:rPr>
          <w:rFonts w:asciiTheme="minorHAnsi" w:hAnsiTheme="minorHAnsi" w:cstheme="minorHAnsi"/>
          <w:sz w:val="24"/>
        </w:rPr>
        <w:t>A operação urbana consorciada tem por finalidade promover a reestruturação urbana da região central de Niterói, por meio da ampliação, articulação, e requalificação dos espaços livres de uso público, visando à melhoria da qualidade de vida de seus atuais e futuros moradores e a sustentabilidade ambiental e socioeconômica da região. 
</w:t>
      </w:r>
      <w:r>
        <w:rPr>
          <w:rFonts w:asciiTheme="minorHAnsi" w:hAnsiTheme="minorHAnsi" w:cstheme="minorHAnsi"/>
          <w:sz w:val="24"/>
        </w:rPr>
        <w:br/>
      </w:r>
      <w:r>
        <w:rPr>
          <w:rFonts w:asciiTheme="minorHAnsi" w:hAnsiTheme="minorHAnsi" w:cstheme="minorHAnsi"/>
          <w:sz w:val="24"/>
        </w:rPr>
        <w:t>Ocorre que a Lei 3236 de 05/08/16 alterou também, com muita propriedade destacamos, a Lei 3061/13 no sentido de acrescer a OUTORGA ONEROSA DO DIREITO DE CONSTRUIR no rol de instrumentos autorizados na área de abrangência da OPERAÇÃO URBANA CONSORCIADA:
</w:t>
      </w:r>
      <w:r>
        <w:rPr>
          <w:rFonts w:asciiTheme="minorHAnsi" w:hAnsiTheme="minorHAnsi" w:cstheme="minorHAnsi"/>
          <w:sz w:val="24"/>
        </w:rPr>
        <w:br/>
      </w:r>
      <w:r>
        <w:rPr>
          <w:rFonts w:asciiTheme="minorHAnsi" w:hAnsiTheme="minorHAnsi" w:cstheme="minorHAnsi"/>
          <w:sz w:val="24"/>
        </w:rPr>
        <w:t>Art. 4º A OUC da Área Central será implantada pelo Poder Público na forma prevista nesta Lei e na legislação pertinente, aplicando-se todos os controles inerentes à atividade da Administração Pública, e dispondo das seguintes ferramentas de implantação, dentre outras: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 - instituição de parcerias entre o Poder Público e o setor privado, inclusive parceria público-privada na modalidade de concessão administrativa de que trata a Lei Federal nº 11.079 de 30 de dezembro de 2004;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II - consórcios públicos, convênios de cooperação e/ou contratos de programa, de que trata a Lei Federal nº 11.107 de 06 de abril de 2005;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III - utilização de instrumentos de mercado de capitais, inclusive Certificados de Potencial Adicional de Construção - CEPAC;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IV - instrumentos de política urbana, previstos no Estatuto da Cidade e no Plano Diretor da Cidade, inclusive a Outorga Onerosa do Direito de Construir e de Alteração de Uso do Solo; (Redação dada pela Lei nº 3236/2016);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V - criação de empresa estatal municipal, mediante lei autorizativa específica, para atuar como companhia de desenvolvimento da OUC da Área Central.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Parágrafo único. Caberá ao Poder Executivo regulamentar, por meio de Decreto, a utilização dos instrumentos previstos no caput, observadas as diretrizes, a obrigatoriedade de aplicação dos recursos nos termos fixados pelo artigo 13, § 4º, desta Lei e os parâmetros estabelecidos nos anexos desta Lei. (Redação acrescida pela Lei nº 3236/2016.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O Projeto de Lei, ainda, delimita em 250 mil metros quadrados o estoque a ser utilizado com a OODC e fixa data limite para aprovações de lei OODC.  
</w:t>
      </w:r>
      <w:r>
        <w:rPr>
          <w:rFonts w:asciiTheme="minorHAnsi" w:hAnsiTheme="minorHAnsi" w:cstheme="minorHAnsi"/>
          <w:sz w:val="24"/>
        </w:rPr>
        <w:br/>
      </w:r>
      <w:r>
        <w:rPr>
          <w:rFonts w:asciiTheme="minorHAnsi" w:hAnsiTheme="minorHAnsi" w:cstheme="minorHAnsi"/>
          <w:sz w:val="24"/>
        </w:rPr>
        <w:t>Houve uma outra alteração proposta pela Lei 3236/16 de 05/08/2016 que também já fixou a 250 metros quadrados o estoque de potencial adicional de construção que poderá utilizar a outorga onerosa do Direito de Construir de alteração do uso do solo.
</w:t>
      </w:r>
      <w:r>
        <w:rPr>
          <w:rFonts w:asciiTheme="minorHAnsi" w:hAnsiTheme="minorHAnsi" w:cstheme="minorHAnsi"/>
          <w:sz w:val="24"/>
        </w:rPr>
        <w:br/>
      </w:r>
      <w:r>
        <w:rPr>
          <w:rFonts w:asciiTheme="minorHAnsi" w:hAnsiTheme="minorHAnsi" w:cstheme="minorHAnsi"/>
          <w:sz w:val="24"/>
        </w:rPr>
        <w:t>Não obstante, nos parece que o Projeto de Lei 158/2016 enfatiza apenas o emprego do instrumento Outorga Onerosa do Direito de Construir como elemento central da Operação Urbana Consorciada. A Lei cujo prazo de aprovação de projetos se pretende dilatar enunciava outros instrumentos relevantes, dentre os quais destacamos os CEPACs (Certificados de Potencial Adicional de Construção).
</w:t>
      </w:r>
      <w:r>
        <w:rPr>
          <w:rFonts w:asciiTheme="minorHAnsi" w:hAnsiTheme="minorHAnsi" w:cstheme="minorHAnsi"/>
          <w:sz w:val="24"/>
        </w:rPr>
        <w:br/>
      </w:r>
      <w:r>
        <w:rPr>
          <w:rFonts w:asciiTheme="minorHAnsi" w:hAnsiTheme="minorHAnsi" w:cstheme="minorHAnsi"/>
          <w:sz w:val="24"/>
        </w:rPr>
        <w:t>Na medida em que este último instrumento, que pressupõe uma estruturação elaborada e posterior colocação em Mercado Financeiro, constitui-se em inovação de impactos significativos para o êxito da OUC, haja vista o sucesso verificado na operação de Água Espraiada em São Paulo e do Porto Maravilha, no Rio de Janeiro, entendemos que se trata de alternativa relevante a ser considerada  na OUC da área Central de Niterói.
</w:t>
      </w:r>
      <w:r>
        <w:rPr>
          <w:rFonts w:asciiTheme="minorHAnsi" w:hAnsiTheme="minorHAnsi" w:cstheme="minorHAnsi"/>
          <w:sz w:val="24"/>
        </w:rPr>
        <w:br/>
      </w:r>
      <w:r>
        <w:rPr>
          <w:rFonts w:asciiTheme="minorHAnsi" w:hAnsiTheme="minorHAnsi" w:cstheme="minorHAnsi"/>
          <w:sz w:val="24"/>
        </w:rPr>
        <w:t>Feitas estas considerações introdutórias, e:
</w:t>
      </w:r>
      <w:r>
        <w:rPr>
          <w:rFonts w:asciiTheme="minorHAnsi" w:hAnsiTheme="minorHAnsi" w:cstheme="minorHAnsi"/>
          <w:sz w:val="24"/>
        </w:rPr>
        <w:br/>
      </w:r>
      <w:r>
        <w:rPr>
          <w:rFonts w:asciiTheme="minorHAnsi" w:hAnsiTheme="minorHAnsi" w:cstheme="minorHAnsi"/>
          <w:sz w:val="24"/>
        </w:rPr>
        <w:t>Considerando o relevante interesse público contido no eventual emprego de CEPACS na OUC.
</w:t>
      </w:r>
      <w:r>
        <w:rPr>
          <w:rFonts w:asciiTheme="minorHAnsi" w:hAnsiTheme="minorHAnsi" w:cstheme="minorHAnsi"/>
          <w:sz w:val="24"/>
        </w:rPr>
        <w:br/>
      </w:r>
      <w:r>
        <w:rPr>
          <w:rFonts w:asciiTheme="minorHAnsi" w:hAnsiTheme="minorHAnsi" w:cstheme="minorHAnsi"/>
          <w:sz w:val="24"/>
        </w:rPr>
        <w:t>Considerando a maior efetividade econômico-financeira do emprego deste instrumento.
</w:t>
      </w:r>
      <w:r>
        <w:rPr>
          <w:rFonts w:asciiTheme="minorHAnsi" w:hAnsiTheme="minorHAnsi" w:cstheme="minorHAnsi"/>
          <w:sz w:val="24"/>
        </w:rPr>
        <w:br/>
      </w:r>
      <w:r>
        <w:rPr>
          <w:rFonts w:asciiTheme="minorHAnsi" w:hAnsiTheme="minorHAnsi" w:cstheme="minorHAnsi"/>
          <w:sz w:val="24"/>
        </w:rPr>
        <w:t>Considerando a maior atratividade destes instrumentos financeiros em razão dos cenários de queda de juros básicos da economia.
</w:t>
      </w:r>
      <w:r>
        <w:rPr>
          <w:rFonts w:asciiTheme="minorHAnsi" w:hAnsiTheme="minorHAnsi" w:cstheme="minorHAnsi"/>
          <w:sz w:val="24"/>
        </w:rPr>
        <w:br/>
      </w:r>
      <w:r>
        <w:rPr>
          <w:rFonts w:asciiTheme="minorHAnsi" w:hAnsiTheme="minorHAnsi" w:cstheme="minorHAnsi"/>
          <w:sz w:val="24"/>
        </w:rPr>
        <w:t>Considerando a provável retomada da atividade econõmica no segundo semestre do corrente ano.
</w:t>
      </w:r>
      <w:r>
        <w:rPr>
          <w:rFonts w:asciiTheme="minorHAnsi" w:hAnsiTheme="minorHAnsi" w:cstheme="minorHAnsi"/>
          <w:sz w:val="24"/>
        </w:rPr>
        <w:br/>
      </w:r>
      <w:r>
        <w:rPr>
          <w:rFonts w:asciiTheme="minorHAnsi" w:hAnsiTheme="minorHAnsi" w:cstheme="minorHAnsi"/>
          <w:sz w:val="24"/>
        </w:rPr>
        <w:t>Apresentamos, assim, a justificativa para o presente Requerimento de Informações.</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5 de Março de 2018</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RICARDO EVANGELISTA LÍRIO</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DBD" w:rsidRDefault="00AB3DBD">
      <w:r>
        <w:separator/>
      </w:r>
    </w:p>
  </w:endnote>
  <w:endnote w:type="continuationSeparator" w:id="1">
    <w:p w:rsidR="00AB3DBD" w:rsidRDefault="00AB3D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DBD" w:rsidRDefault="00AB3DBD">
      <w:r>
        <w:separator/>
      </w:r>
    </w:p>
  </w:footnote>
  <w:footnote w:type="continuationSeparator" w:id="1">
    <w:p w:rsidR="00AB3DBD" w:rsidRDefault="00AB3D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6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AB3DBD"/>
    <w:rsid w:val="00BC4799"/>
    <w:rsid w:val="00BF5D0C"/>
    <w:rsid w:val="00CA61A5"/>
    <w:rsid w:val="00CD13AF"/>
    <w:rsid w:val="00D06FDE"/>
    <w:rsid w:val="00DD7520"/>
    <w:rsid w:val="00E536C0"/>
    <w:rsid w:val="00F370A0"/>
    <w:rsid w:val="00FC4BB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2014-02-20T14:20:00Z</dcterms:created>
  <dcterms:modified xsi:type="dcterms:W3CDTF">2014-02-20T14:20:00Z</dcterms:modified>
</cp:coreProperties>
</file>