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CARLOS ROBERTO COELHO DE MATTOS JÚNIOR - CARLOS JORDY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00170/2017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Altera a redação do Artigo 366 da Lei 2.624, de 29 de dezembro de 2008 – Código de Posturas do Município de Niterói – e dá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– Altera a redação do Artigo 366 da Lei 2.624, de 29 de dezembro de 2008, que passa a vigorar com a seguinte redação: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“Art. 366. Compete à Secretaria Municipal de Ordem Pública proceder à autorização e à cassação do exercício do comércio ambulante.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§1º Compete à Secretaria Municipal de Fazenda, por meio dos Fiscais de Posturas, a verificação do efetivo cumprimento da autorização concedida, bem como a apreensão de bens, mercadorias, equipamentos e veículos, utilizados irregularmente no Logradouro Público.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2º É proibida a autorização para instalação do Comércio Ambulante nas áreas de segurança bancária.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3º A autorização referida neste artigo será concedida na forma de regulamento específico do Poder Público Municipal.”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projeto que apresento aos meus pares visa retirar a atribuição de fiscalização de posturas dos Guardas Civis Municipais do município de Niterói, fazendo com que os fiscais de posturas dediquem-se a tal função, com a intenção de fazer com que os profissionais da Guarda Civil Municipal dediquem-se apenas as atribuições de segurança pública, com o respaldo legal da Lei Federal 13.022/2014, que instituiu em todo o Território Nacional o Estatuto Geral das Guardas Municipais.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intenção de tal projeto de lei é colocar os Guardas com a atribuição de agir como força complementar de segurança pública, delegando a aqueles que são contratados para a fiscalização de posturas na cidade tal função, permitindo que o efetivo de policiamento ostensivo tenha significativo aumento em nossa cidade. Cabe principalmente ao fiscal de posturas a atividade de verificação e apreensão de bens em desacordo com as normas municipais.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Com o aumento do efetivo no município de Niterói, muitos crimes podem ser evitados como furtos e homicídios. Também com a aprovação de tal projeto apresentado, as forças de segurança pública estaduais (Polícia Militar e Polícia Civil) poderão dedicar-se a combater crimes de maior potencial ofensivo, deixando a parte de policiamento ostensivo sob responsabilidade dos agentes da Guarda Civil Municipal, retirando-se assim a sobrecarga de tais instituições no combate aos crimes.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Conto com o apoio dos Nobres Pares para aprovação do presente Projeto de Lei.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11 de Outubro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CARLOS ROBERTO COELHO DE MATTOS JÚNIOR - CARLOS JORDY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