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00048/2017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DIVULGAÇÃO, NO PORTAL DA TRANSPARÊNCIA, DA DESTINAÇÃO DE VALORES DE MULTAS DE TRÂNSITO PARA CADA ÁREA BENEFICIADA.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O Poder Executivo deverá divulgar, mensalmente, no Portal da Transparência do Município, a destinação dos valores arrecadados com as multas de trânsito.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informação a ser divulgada deverá conter o órgão beneficiado para aplicar o recurso conforme determina o art. 320 do Código de Trânsito Brasileiro, o valor destinado a esta categoria e a percentagem repassada com base no total arrecadado.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 tem por escopo oferecer maior transparência na alocação dos recursos oriundos das multas de trânsito, baseando-se no art. 320 do Código de Trânsito Brasileiro.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 tem uma incidência de aplicação de multas de trânsito que chama a atenção de todo o Brasil, tendo inclusive recebido a alcunha negativa de “Visite Niterói e ganhe uma multa”.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Certo que, em que pesem os vultuosos valores que recebe a este título, este Projeto de Lei pretende desmitificar a chamada “indústria da multa” e informar ao cidadão que foi punido através das multas de trânsito que aquele valor será reinvestido conforme prevê a legislação.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Outrossim, será possível aos cidadãos saberem de que forma é aplicado o produto da arrecadação, considerando se tratar de receita vinculada. Nessa linha, os cidadãos saberão a quota-parte do total investida em sinalização, engenharia de tráfego, de campo, policiamento, fiscalização e educação de trânsito.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Noutro giro, sobreleva ressaltar que um dos princípios que norteiam a Administração Pública é a Publicidade com o corolário da transparência, especificamente e mormente no artigo 37, caput, bem como no artigo 216 §2º, da Constituição Federal, e bem assim corroborado pela Lei Federal de Acesso à Informação, Lei nº 12.257/2011, é que cabe ao Município de Niterói disponibilizar as todas as informações possíveis de suas atividades, tais como contratos, notas fiscais, atos administrativos, receitas e despesas em geral etc.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Neste eito, o Município promulgou a Lei nº 3.084/2014, que disciplina o acesso à informação em seu âmbito, sendo regulada pelo Decreto Municipal nº 11.742/2014, bem como a Lei Orgânica do Município de Niterói, no artigo 11, - independentemente de portal da transparência - garante ao administrado a transparência de seus atos e ações, pelo que se pretende seja cumprido.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 de Abril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