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GABRIEL DE OLIVEIRA RODRIGUES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00039/2017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proibição do uso de placas informativas, impressão em bilhetes ou cupons de estacionamento e/ou similares com os seguintes dizeres: “NÃO NOS RESPONSABILIZAMOS POR DANOS MATERIAIS E/OU OBJETOS DEIXADOS NO INTERIOR DO VEÍCULO” e da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No uso das atribuições que nos confere o Regimento Interno desta Casa de Leis, estamos submetendo à apreciação do Plenário o seguinte Projeto de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1º - Fica proibida a utilização de placas informativas, impressão em bilhetes ou cupons, nos estacionamentos pagos ou gratuitos, do comércio em geral e de prestação de serviços, com os seguintes dizeres: “NÃO NOS RESPONSABILIZAMOS POR DANOS MATERIAIS E/OU OBJETOS DEIXADOS NO INTERIOR DO VEÍCULO” ou dizeres similares com o mesmo objetivo, no âmbito do Município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- Entende-se por comércio em geral, todo estabelecimento comercial que possua estacionamento próprio, ou mesmo que terceirizado por empresa especializada, oferecidos de forma gratuita ou paga.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3° - O disposto nesta lei se estende às empresas especializadas no serviço de estacionamento ainda que prestem serviço terceirizado a empresas ou instituições sem fins lucrativos ou filantrópicos.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 - O descumprimento do que estabelece esta Lei sujeitará ao estabelecimento infrator as seguintes penalidades: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advertência;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multa no valor equivalente à referência M5, constante do Anexo I do Código Tributário Municipal;;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- multa equivalente ao dobro do valor da anterior, em segunda reincidência;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- suspensão do alvará de funcionamento do estabelecimento até que se faça sanar a infração.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6º - Esta lei entra em vigor na data de sua publicação, revogadas  disposições em contrário.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presente projeto de lei tem por objetivo assegurar o cumprimento do Código de Defesa do Consumidor.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É importante frisar que os estabelecimentos são sim responsáveis por todos os objetos deixados no interior do veiculo estacionado, bem como os danos materiais decorrentes da prestação de serviço.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Manter placas, cartazes, cupons impressos com tais informações que busquem isentar o estabelecimento comercial de responsabilidade, é considerado como clausula abusiva, portanto nula de acordo com o Artigo 51 do Código de Defesa do Consumidor: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“Art. 51- São nulas de pleno direito, entre outras, as clausulas contratuais relativas ao fornecimento de produtos e serviços que: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I-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 xml:space="preserve"> impossibilitem, exonerem ou atenuem a responsabilidade do fornecedor por vícios de qualquer natureza dos produtos e serviços ou impliquem renúncia ou disposição de direitos “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Ainda nesse sentido a Súmula nº130 do Superior Tribunal de Justiça estabelece: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Súmula Nº130: “A empresa responde, perante o cliente, pela reparação do dano ou furto de veículos em seu estabelecimento.”   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               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Da mesma forma é atribuída responsabilidade aos serviços de manobristas, oferecidos em shows, eventos, bares, restaurantes e casas noturnas, conhecidos como “Valet Service”.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Diante deste induzimento ao cerceamento do direito dos consumidores de Niterói em relação ao CDC, se verifica o profundo interesse local para que o presente Projeto de Lei venha a ser aprovado.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 de Abril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GABRIEL DE OLIVEIRA RODRIGUES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