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GABRIEL DE OLIVEIRA RODRIGUES</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00038/2017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Acrescenta o inciso XI ao artigo 2º da Lei nº 3.145, de 26 de junho de 2015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No uso das atribuições que nos confere o Regimento Interno desta Casa de Leis, estamos submetendo à apreciação do Plenário o seguinte Projeto de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 Esta Lei acrescenta o inciso XI ao art. 2º da Lei nº 3.145, de 26 de junho de 2015, que “Disciplina, no âmbito da Secretaria Municipal de Ordem Pública (SEOP), o Centro Integrado de Segurança Pública (CISP), para vigilância permanente dos logradouros públicos, vias públicas e locais de interesse público”, a fim de clarificar os deveres intrínsecos ao CISP e seu agentes e dá outras providências.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A Lei nº 3.145, de 26 de junho de 2015, passa a vigorar acrescida do inciso XI, do artigo 2º: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XI – Inibir, prevenir e proibir abusos cometidos por guardadores informais de veículos (flanelinhas) em logradouros públicos.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Art.3º - Os estabelecimentos comerciais deverão afixar, em local visível público, e preferencialmente à vista do logradouro, cartaz informativo conforme Anexo I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Para efeito desta lei, são considerados estabelecimentos comerciais: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w:t>
      </w:r>
      <w:r>
        <w:rPr>
          <w:rFonts w:asciiTheme="minorHAnsi" w:hAnsiTheme="minorHAnsi" w:cstheme="minorHAnsi"/>
          <w:sz w:val="24"/>
        </w:rPr>
        <w:tab/>
      </w:r>
      <w:r>
        <w:rPr>
          <w:rFonts w:asciiTheme="minorHAnsi" w:hAnsiTheme="minorHAnsi" w:cstheme="minorHAnsi"/>
          <w:sz w:val="24"/>
        </w:rPr>
        <w:t>Supermercados;
</w:t>
      </w:r>
      <w:r>
        <w:rPr>
          <w:rFonts w:asciiTheme="minorHAnsi" w:hAnsiTheme="minorHAnsi" w:cstheme="minorHAnsi"/>
          <w:sz w:val="24"/>
        </w:rPr>
        <w:br/>
      </w:r>
      <w:r>
        <w:rPr>
          <w:rFonts w:asciiTheme="minorHAnsi" w:hAnsiTheme="minorHAnsi" w:cstheme="minorHAnsi"/>
          <w:sz w:val="24"/>
        </w:rPr>
        <w:t>b)</w:t>
      </w:r>
      <w:r>
        <w:rPr>
          <w:rFonts w:asciiTheme="minorHAnsi" w:hAnsiTheme="minorHAnsi" w:cstheme="minorHAnsi"/>
          <w:sz w:val="24"/>
        </w:rPr>
        <w:tab/>
      </w:r>
      <w:r>
        <w:rPr>
          <w:rFonts w:asciiTheme="minorHAnsi" w:hAnsiTheme="minorHAnsi" w:cstheme="minorHAnsi"/>
          <w:sz w:val="24"/>
        </w:rPr>
        <w:t>Padarias;
</w:t>
      </w:r>
      <w:r>
        <w:rPr>
          <w:rFonts w:asciiTheme="minorHAnsi" w:hAnsiTheme="minorHAnsi" w:cstheme="minorHAnsi"/>
          <w:sz w:val="24"/>
        </w:rPr>
        <w:br/>
      </w:r>
      <w:r>
        <w:rPr>
          <w:rFonts w:asciiTheme="minorHAnsi" w:hAnsiTheme="minorHAnsi" w:cstheme="minorHAnsi"/>
          <w:sz w:val="24"/>
        </w:rPr>
        <w:t>c)</w:t>
      </w:r>
      <w:r>
        <w:rPr>
          <w:rFonts w:asciiTheme="minorHAnsi" w:hAnsiTheme="minorHAnsi" w:cstheme="minorHAnsi"/>
          <w:sz w:val="24"/>
        </w:rPr>
        <w:tab/>
      </w:r>
      <w:r>
        <w:rPr>
          <w:rFonts w:asciiTheme="minorHAnsi" w:hAnsiTheme="minorHAnsi" w:cstheme="minorHAnsi"/>
          <w:sz w:val="24"/>
        </w:rPr>
        <w:t>Farmácias;
</w:t>
      </w:r>
      <w:r>
        <w:rPr>
          <w:rFonts w:asciiTheme="minorHAnsi" w:hAnsiTheme="minorHAnsi" w:cstheme="minorHAnsi"/>
          <w:sz w:val="24"/>
        </w:rPr>
        <w:br/>
      </w:r>
      <w:r>
        <w:rPr>
          <w:rFonts w:asciiTheme="minorHAnsi" w:hAnsiTheme="minorHAnsi" w:cstheme="minorHAnsi"/>
          <w:sz w:val="24"/>
        </w:rPr>
        <w:t>d)</w:t>
      </w:r>
      <w:r>
        <w:rPr>
          <w:rFonts w:asciiTheme="minorHAnsi" w:hAnsiTheme="minorHAnsi" w:cstheme="minorHAnsi"/>
          <w:sz w:val="24"/>
        </w:rPr>
        <w:tab/>
      </w:r>
      <w:r>
        <w:rPr>
          <w:rFonts w:asciiTheme="minorHAnsi" w:hAnsiTheme="minorHAnsi" w:cstheme="minorHAnsi"/>
          <w:sz w:val="24"/>
        </w:rPr>
        <w:t>Restaurantes;
</w:t>
      </w:r>
      <w:r>
        <w:rPr>
          <w:rFonts w:asciiTheme="minorHAnsi" w:hAnsiTheme="minorHAnsi" w:cstheme="minorHAnsi"/>
          <w:sz w:val="24"/>
        </w:rPr>
        <w:br/>
      </w:r>
      <w:r>
        <w:rPr>
          <w:rFonts w:asciiTheme="minorHAnsi" w:hAnsiTheme="minorHAnsi" w:cstheme="minorHAnsi"/>
          <w:sz w:val="24"/>
        </w:rPr>
        <w:t>e)</w:t>
      </w:r>
      <w:r>
        <w:rPr>
          <w:rFonts w:asciiTheme="minorHAnsi" w:hAnsiTheme="minorHAnsi" w:cstheme="minorHAnsi"/>
          <w:sz w:val="24"/>
        </w:rPr>
        <w:tab/>
      </w:r>
      <w:r>
        <w:rPr>
          <w:rFonts w:asciiTheme="minorHAnsi" w:hAnsiTheme="minorHAnsi" w:cstheme="minorHAnsi"/>
          <w:sz w:val="24"/>
        </w:rPr>
        <w:t>Lanchonetes;
</w:t>
      </w:r>
      <w:r>
        <w:rPr>
          <w:rFonts w:asciiTheme="minorHAnsi" w:hAnsiTheme="minorHAnsi" w:cstheme="minorHAnsi"/>
          <w:sz w:val="24"/>
        </w:rPr>
        <w:br/>
      </w:r>
      <w:r>
        <w:rPr>
          <w:rFonts w:asciiTheme="minorHAnsi" w:hAnsiTheme="minorHAnsi" w:cstheme="minorHAnsi"/>
          <w:sz w:val="24"/>
        </w:rPr>
        <w:t>f)</w:t>
      </w:r>
      <w:r>
        <w:rPr>
          <w:rFonts w:asciiTheme="minorHAnsi" w:hAnsiTheme="minorHAnsi" w:cstheme="minorHAnsi"/>
          <w:sz w:val="24"/>
        </w:rPr>
        <w:tab/>
      </w:r>
      <w:r>
        <w:rPr>
          <w:rFonts w:asciiTheme="minorHAnsi" w:hAnsiTheme="minorHAnsi" w:cstheme="minorHAnsi"/>
          <w:sz w:val="24"/>
        </w:rPr>
        <w:t>Casas de festas;
</w:t>
      </w:r>
      <w:r>
        <w:rPr>
          <w:rFonts w:asciiTheme="minorHAnsi" w:hAnsiTheme="minorHAnsi" w:cstheme="minorHAnsi"/>
          <w:sz w:val="24"/>
        </w:rPr>
        <w:br/>
      </w:r>
      <w:r>
        <w:rPr>
          <w:rFonts w:asciiTheme="minorHAnsi" w:hAnsiTheme="minorHAnsi" w:cstheme="minorHAnsi"/>
          <w:sz w:val="24"/>
        </w:rPr>
        <w:t>g)</w:t>
      </w:r>
      <w:r>
        <w:rPr>
          <w:rFonts w:asciiTheme="minorHAnsi" w:hAnsiTheme="minorHAnsi" w:cstheme="minorHAnsi"/>
          <w:sz w:val="24"/>
        </w:rPr>
        <w:tab/>
      </w:r>
      <w:r>
        <w:rPr>
          <w:rFonts w:asciiTheme="minorHAnsi" w:hAnsiTheme="minorHAnsi" w:cstheme="minorHAnsi"/>
          <w:sz w:val="24"/>
        </w:rPr>
        <w:t>Boates;
</w:t>
      </w:r>
      <w:r>
        <w:rPr>
          <w:rFonts w:asciiTheme="minorHAnsi" w:hAnsiTheme="minorHAnsi" w:cstheme="minorHAnsi"/>
          <w:sz w:val="24"/>
        </w:rPr>
        <w:br/>
      </w:r>
      <w:r>
        <w:rPr>
          <w:rFonts w:asciiTheme="minorHAnsi" w:hAnsiTheme="minorHAnsi" w:cstheme="minorHAnsi"/>
          <w:sz w:val="24"/>
        </w:rPr>
        <w:t>h)</w:t>
      </w:r>
      <w:r>
        <w:rPr>
          <w:rFonts w:asciiTheme="minorHAnsi" w:hAnsiTheme="minorHAnsi" w:cstheme="minorHAnsi"/>
          <w:sz w:val="24"/>
        </w:rPr>
        <w:tab/>
      </w:r>
      <w:r>
        <w:rPr>
          <w:rFonts w:asciiTheme="minorHAnsi" w:hAnsiTheme="minorHAnsi" w:cstheme="minorHAnsi"/>
          <w:sz w:val="24"/>
        </w:rPr>
        <w:t>Bares e similares.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 Esta lei entra em vigor na data da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 intenção fundamental deste projeto, que certamente contará com o apoio de todos os Vereadores desta Casa, é de identificar os “flanelinhas” que agem de forma abusiva, clarificando as atribuições intrínsecas ao CISP, de maneira que não reste dúvidas quanto ao campo de atuação.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É sabido que a atividade enquadra-se como contravenção penal. Bem assim, boa parte dos “flanelinhas” age de forma abusiva, seja com abordagem intimidadora, seja com exigências de valor e, muitas vezes, acima da tarifa regulamentada pelos órgãos competentes.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Por essas razões é que se faz necessário coibir os “flanelinhas” que agem com abuso e, inclusive, cometem crimes de extorsão. Em verdade, são pessoas físicas que agem por si em fiscalização do espaço público, com obtenção de vantagem pecuniária indevida, pois.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Em muitos lugares da cidade a ação destes “flanelinhas” prejudica as relações comerciais, pessoas deixam de frequentar lugares para não terem de lidar com situações de constrangimento impingidas por estes “guardadores” de veículos não regulamentados.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Sem meios de ação, a população fica sem saber como agir. Uns – conforme já dito – deixam de frequentar lugares para não terem de lidar com estas situações; já outros, a contragosto e para não terem um aborrecimento maior, arcam com o ônus de pagar preços abusivos que lhes são exigidos.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Dessa maneira, visando garantir o direito de ir e vir das pessoas, sem serem molestadas, dar maior fluidez ao comércio da cidade, é que se busca apresentar à sociedade um meio de ação com o fito de coibir as práticas abusivas perpetradas por estes indivíduos.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Com o número 153, número de contato com o CISP,  o cidadão poderá utilizá-lo como meio de acionar os agentes de Segurança à disposição do CISP de modo que poderão inibir os atos abusivos praticados por estes indivíduos naquele momento. Outrossim, cuida-se de meio de auxílio à Segurança Pública.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Vale ressaltar que é atribuição estatutária da Guarda Municipal (inciso IV, artigo 10, da Lei 2.838/2011), bem como das Forças de Segurança Pública, exercer a vigilância dos logradouros públicos, devendo inibir, prevenir e proibir os abusos cometidos por guardadores informais de veículos (flanelinhas) em logradouros públicos.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Assim, o poder Público Municipal deverá estar preparado para agir imediatamente contra a ação denunciada. Pela intenção que encerra, pelo objetivo patrimonial e de auxílio à Segurança Pública, que o faz merecedor da atenção de todos, solicito a sua aprovação.</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23 de Março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GABRIEL DE OLIVEIRA RODRIGUES</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