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5E" w:rsidRDefault="00420B5E">
      <w:pPr>
        <w:spacing w:after="280" w:line="240" w:lineRule="auto"/>
        <w:ind w:left="-540" w:right="99"/>
        <w:jc w:val="both"/>
        <w:rPr>
          <w:sz w:val="24"/>
          <w:szCs w:val="24"/>
        </w:rPr>
      </w:pPr>
    </w:p>
    <w:p w:rsidR="00420B5E" w:rsidRDefault="00BA1929">
      <w:pPr>
        <w:spacing w:line="240" w:lineRule="auto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114300" distR="114300">
            <wp:extent cx="571500" cy="762000"/>
            <wp:effectExtent l="0" t="0" r="0" b="0"/>
            <wp:docPr id="1" name="image1.png" descr="http://www.mcg2.com.br/application/legislativo/_lib/img/camara_nit_brasao_p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mcg2.com.br/application/legislativo/_lib/img/camara_nit_brasao_pb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0B5E" w:rsidRDefault="00BA1929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Câmara Municipal de Niterói</w:t>
      </w:r>
    </w:p>
    <w:p w:rsidR="00420B5E" w:rsidRDefault="00BA1929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Gabinete do Vereador Professor Tulio</w:t>
      </w:r>
    </w:p>
    <w:p w:rsidR="00420B5E" w:rsidRDefault="00BA1929">
      <w:pPr>
        <w:spacing w:before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  ____/2021</w:t>
      </w:r>
    </w:p>
    <w:p w:rsidR="00420B5E" w:rsidRDefault="00420B5E">
      <w:pPr>
        <w:spacing w:line="240" w:lineRule="auto"/>
        <w:ind w:left="4248"/>
        <w:jc w:val="both"/>
        <w:rPr>
          <w:sz w:val="24"/>
          <w:szCs w:val="24"/>
        </w:rPr>
      </w:pPr>
    </w:p>
    <w:p w:rsidR="00420B5E" w:rsidRDefault="00420B5E">
      <w:pPr>
        <w:spacing w:line="240" w:lineRule="auto"/>
        <w:ind w:left="4248"/>
        <w:jc w:val="both"/>
        <w:rPr>
          <w:sz w:val="24"/>
          <w:szCs w:val="24"/>
        </w:rPr>
      </w:pPr>
    </w:p>
    <w:p w:rsidR="00420B5E" w:rsidRDefault="00420B5E">
      <w:pPr>
        <w:spacing w:line="240" w:lineRule="auto"/>
        <w:ind w:left="4248"/>
        <w:jc w:val="both"/>
        <w:rPr>
          <w:sz w:val="24"/>
          <w:szCs w:val="24"/>
        </w:rPr>
      </w:pPr>
      <w:bookmarkStart w:id="0" w:name="_gjdgxs" w:colFirst="0" w:colLast="0"/>
      <w:bookmarkEnd w:id="0"/>
    </w:p>
    <w:p w:rsidR="00420B5E" w:rsidRDefault="00BA1929">
      <w:pPr>
        <w:spacing w:line="240" w:lineRule="auto"/>
        <w:ind w:left="4248"/>
        <w:jc w:val="both"/>
        <w:rPr>
          <w:b/>
          <w:sz w:val="24"/>
          <w:szCs w:val="24"/>
        </w:rPr>
      </w:pPr>
      <w:bookmarkStart w:id="1" w:name="_GoBack"/>
      <w:r>
        <w:rPr>
          <w:b/>
          <w:sz w:val="24"/>
          <w:szCs w:val="24"/>
        </w:rPr>
        <w:t>Solicita ao Poder Executivo que seja enviada M</w:t>
      </w:r>
      <w:r>
        <w:rPr>
          <w:b/>
          <w:sz w:val="24"/>
          <w:szCs w:val="24"/>
        </w:rPr>
        <w:t>ensagem E</w:t>
      </w:r>
      <w:r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ecutiva a e</w:t>
      </w:r>
      <w:r>
        <w:rPr>
          <w:b/>
          <w:sz w:val="24"/>
          <w:szCs w:val="24"/>
        </w:rPr>
        <w:t>sta C</w:t>
      </w:r>
      <w:r>
        <w:rPr>
          <w:b/>
          <w:sz w:val="24"/>
          <w:szCs w:val="24"/>
        </w:rPr>
        <w:t xml:space="preserve">asa alterando os artigos </w:t>
      </w:r>
      <w:r w:rsidR="00C31079">
        <w:rPr>
          <w:b/>
          <w:sz w:val="24"/>
          <w:szCs w:val="24"/>
        </w:rPr>
        <w:t>1º</w:t>
      </w:r>
      <w:r w:rsidR="00C3107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56, </w:t>
      </w:r>
      <w:r w:rsidR="00C31079">
        <w:rPr>
          <w:b/>
          <w:sz w:val="24"/>
          <w:szCs w:val="24"/>
        </w:rPr>
        <w:t xml:space="preserve">93 , 102 e </w:t>
      </w:r>
      <w:r w:rsidR="00C31079">
        <w:rPr>
          <w:b/>
          <w:sz w:val="24"/>
          <w:szCs w:val="24"/>
        </w:rPr>
        <w:t xml:space="preserve"> 275</w:t>
      </w:r>
      <w:r>
        <w:rPr>
          <w:b/>
          <w:sz w:val="24"/>
          <w:szCs w:val="24"/>
        </w:rPr>
        <w:t xml:space="preserve"> da lei Municipal 2838/2011</w:t>
      </w:r>
      <w:r w:rsidR="00C3107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 30 de maio de 2011</w:t>
      </w:r>
    </w:p>
    <w:bookmarkEnd w:id="1"/>
    <w:p w:rsidR="00420B5E" w:rsidRDefault="00420B5E">
      <w:pPr>
        <w:spacing w:line="240" w:lineRule="auto"/>
        <w:jc w:val="both"/>
        <w:rPr>
          <w:sz w:val="24"/>
          <w:szCs w:val="24"/>
        </w:rPr>
      </w:pPr>
    </w:p>
    <w:p w:rsidR="00420B5E" w:rsidRDefault="00420B5E">
      <w:pPr>
        <w:spacing w:line="240" w:lineRule="auto"/>
        <w:jc w:val="both"/>
        <w:rPr>
          <w:sz w:val="24"/>
          <w:szCs w:val="24"/>
        </w:rPr>
      </w:pPr>
    </w:p>
    <w:p w:rsidR="00420B5E" w:rsidRDefault="00420B5E">
      <w:pPr>
        <w:spacing w:line="240" w:lineRule="auto"/>
        <w:jc w:val="both"/>
        <w:rPr>
          <w:sz w:val="24"/>
          <w:szCs w:val="24"/>
        </w:rPr>
      </w:pPr>
    </w:p>
    <w:p w:rsidR="00420B5E" w:rsidRDefault="00BA1929">
      <w:pPr>
        <w:jc w:val="both"/>
        <w:rPr>
          <w:sz w:val="24"/>
          <w:szCs w:val="24"/>
        </w:rPr>
      </w:pPr>
      <w:r>
        <w:rPr>
          <w:sz w:val="24"/>
          <w:szCs w:val="24"/>
        </w:rPr>
        <w:t>Indico à Mesa na forma Regimental, que seja enviado ofício ao Exm</w:t>
      </w:r>
      <w:r>
        <w:rPr>
          <w:sz w:val="24"/>
          <w:szCs w:val="24"/>
        </w:rPr>
        <w:t>o. Prefeito Municipal Axel Grael solicitando que envie M</w:t>
      </w:r>
      <w:r>
        <w:rPr>
          <w:sz w:val="24"/>
          <w:szCs w:val="24"/>
        </w:rPr>
        <w:t>ensagem E</w:t>
      </w:r>
      <w:r>
        <w:rPr>
          <w:sz w:val="24"/>
          <w:szCs w:val="24"/>
        </w:rPr>
        <w:t xml:space="preserve">xecutiva </w:t>
      </w:r>
      <w:r>
        <w:rPr>
          <w:sz w:val="24"/>
          <w:szCs w:val="24"/>
        </w:rPr>
        <w:t>a esta Casa de Leis para que sejam alterados os seguintes artigos da lei municipal 2838/2011:</w:t>
      </w:r>
    </w:p>
    <w:p w:rsidR="00420B5E" w:rsidRDefault="00420B5E">
      <w:pPr>
        <w:jc w:val="both"/>
        <w:rPr>
          <w:sz w:val="24"/>
          <w:szCs w:val="24"/>
        </w:rPr>
      </w:pPr>
    </w:p>
    <w:p w:rsidR="00420B5E" w:rsidRDefault="00BA1929">
      <w:pPr>
        <w:shd w:val="clear" w:color="auto" w:fill="FFFFFF"/>
        <w:spacing w:after="4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- Que o artigo</w:t>
      </w:r>
      <w:r w:rsidR="00C31079">
        <w:rPr>
          <w:sz w:val="24"/>
          <w:szCs w:val="24"/>
        </w:rPr>
        <w:t xml:space="preserve"> 56 da lei Municipal 2838/2011 </w:t>
      </w:r>
      <w:r>
        <w:rPr>
          <w:sz w:val="24"/>
          <w:szCs w:val="24"/>
        </w:rPr>
        <w:t>passe a ter a seguinte redação:</w:t>
      </w:r>
    </w:p>
    <w:p w:rsidR="00420B5E" w:rsidRDefault="00BA1929">
      <w:pPr>
        <w:shd w:val="clear" w:color="auto" w:fill="FFFFFF"/>
        <w:spacing w:after="4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Art 56: As escalas de serviço a serem praticadas no âmbito da Guarda</w:t>
      </w:r>
      <w:r w:rsidR="00C31079">
        <w:rPr>
          <w:sz w:val="24"/>
          <w:szCs w:val="24"/>
        </w:rPr>
        <w:t xml:space="preserve"> Civil Municipal de Niterói serã</w:t>
      </w:r>
      <w:r>
        <w:rPr>
          <w:sz w:val="24"/>
          <w:szCs w:val="24"/>
        </w:rPr>
        <w:t>o da seguinte forma:</w:t>
      </w:r>
    </w:p>
    <w:p w:rsidR="00420B5E" w:rsidRDefault="00BA1929">
      <w:pPr>
        <w:shd w:val="clear" w:color="auto" w:fill="FFFFFF"/>
        <w:spacing w:after="200" w:line="240" w:lineRule="auto"/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I. Na escala 5x2, a ser empregada somente para os servidores que exercem função administrativa, o servidor labora período de 8(oito) ho</w:t>
      </w:r>
      <w:r>
        <w:rPr>
          <w:sz w:val="24"/>
          <w:szCs w:val="24"/>
        </w:rPr>
        <w:t>ras e descansa 16 (dezesseis) horas, necessariamente em dias úteis;</w:t>
      </w:r>
    </w:p>
    <w:p w:rsidR="00420B5E" w:rsidRDefault="00BA1929">
      <w:pPr>
        <w:shd w:val="clear" w:color="auto" w:fill="FFFFFF"/>
        <w:spacing w:after="200" w:line="240" w:lineRule="auto"/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II. Na escala 12x60 , o servidor operacional laborará por um período de 12(doze) horas e descansa 60( sessenta) horas, laborando, inclusive, aos feriados, sábados e domingos, devido à sua característica de revezamento;</w:t>
      </w:r>
    </w:p>
    <w:p w:rsidR="00420B5E" w:rsidRDefault="00BA1929">
      <w:pPr>
        <w:shd w:val="clear" w:color="auto" w:fill="FFFFFF"/>
        <w:spacing w:after="200" w:line="240" w:lineRule="auto"/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III. Na escala 24x72, o servidor oper</w:t>
      </w:r>
      <w:r>
        <w:rPr>
          <w:sz w:val="24"/>
          <w:szCs w:val="24"/>
        </w:rPr>
        <w:t>acional laborará por um período de 24 (vinte e quatro) horas e descansa 72(setenta e dois) horas, laborando, inclusive, aos feriados, sábados e domingos, devido à sua característica de revezamento;</w:t>
      </w:r>
    </w:p>
    <w:p w:rsidR="00420B5E" w:rsidRDefault="00BA1929">
      <w:pPr>
        <w:shd w:val="clear" w:color="auto" w:fill="FFFFFF"/>
        <w:spacing w:after="200" w:line="240" w:lineRule="auto"/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Parágrafo 1°: Fica estipulado que a cada 06( seis) horas d</w:t>
      </w:r>
      <w:r>
        <w:rPr>
          <w:sz w:val="24"/>
          <w:szCs w:val="24"/>
        </w:rPr>
        <w:t>e trabalho contínuo, é obrigatória e garantida a concessão de um intervalo para repouso ou alimentação, o qual será de, no mínimo, 1(uma) hora.</w:t>
      </w:r>
    </w:p>
    <w:p w:rsidR="00420B5E" w:rsidRDefault="00BA1929">
      <w:pPr>
        <w:shd w:val="clear" w:color="auto" w:fill="FFFFFF"/>
        <w:spacing w:after="4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Parágrafo 2°: Poderá a administração da Guarda Civil Municipal de Niterói, segundo necessidade de serviço, flexi</w:t>
      </w:r>
      <w:r>
        <w:rPr>
          <w:sz w:val="24"/>
          <w:szCs w:val="24"/>
        </w:rPr>
        <w:t>bilizar a escala da área administrativa para as escalas descritas no inciso II e III. “</w:t>
      </w:r>
    </w:p>
    <w:p w:rsidR="00C31079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="00C31079">
        <w:rPr>
          <w:sz w:val="24"/>
          <w:szCs w:val="24"/>
        </w:rPr>
        <w:t xml:space="preserve"> – Que o</w:t>
      </w:r>
      <w:r>
        <w:rPr>
          <w:sz w:val="24"/>
          <w:szCs w:val="24"/>
        </w:rPr>
        <w:t xml:space="preserve"> artigo 275 da lei Municipal 2838/2011 pass</w:t>
      </w:r>
      <w:r w:rsidR="00C31079">
        <w:rPr>
          <w:sz w:val="24"/>
          <w:szCs w:val="24"/>
        </w:rPr>
        <w:t>e</w:t>
      </w:r>
      <w:r>
        <w:rPr>
          <w:sz w:val="24"/>
          <w:szCs w:val="24"/>
        </w:rPr>
        <w:t xml:space="preserve"> a ter a seguinte redação: </w:t>
      </w:r>
    </w:p>
    <w:p w:rsidR="00C31079" w:rsidRDefault="00C31079">
      <w:pPr>
        <w:spacing w:before="240" w:after="240" w:line="240" w:lineRule="auto"/>
        <w:jc w:val="both"/>
        <w:rPr>
          <w:sz w:val="24"/>
          <w:szCs w:val="24"/>
        </w:rPr>
      </w:pPr>
    </w:p>
    <w:p w:rsidR="00420B5E" w:rsidRDefault="00C3107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“Art. 275. </w:t>
      </w:r>
      <w:r w:rsidR="00BA1929">
        <w:rPr>
          <w:sz w:val="24"/>
          <w:szCs w:val="24"/>
        </w:rPr>
        <w:t>Os direitos omissos nesta alteração do Estatuto em vigor, serão aplicados em con</w:t>
      </w:r>
      <w:r w:rsidR="00BA1929">
        <w:rPr>
          <w:sz w:val="24"/>
          <w:szCs w:val="24"/>
        </w:rPr>
        <w:t>formidade com a Lei 531/85 e Lei Orgânica".</w:t>
      </w:r>
    </w:p>
    <w:p w:rsidR="00420B5E" w:rsidRDefault="00BA1929">
      <w:pPr>
        <w:shd w:val="clear" w:color="auto" w:fill="FFFFFF"/>
        <w:spacing w:before="280" w:after="4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 - Que seja alterado o </w:t>
      </w:r>
      <w:r>
        <w:rPr>
          <w:sz w:val="24"/>
          <w:szCs w:val="24"/>
        </w:rPr>
        <w:t xml:space="preserve">o artigo 102, inciso V, alínea </w:t>
      </w:r>
      <w:r w:rsidRPr="00C31079">
        <w:rPr>
          <w:i/>
          <w:sz w:val="24"/>
          <w:szCs w:val="24"/>
        </w:rPr>
        <w:t>b</w:t>
      </w:r>
      <w:r w:rsidR="00C31079">
        <w:rPr>
          <w:sz w:val="24"/>
          <w:szCs w:val="24"/>
        </w:rPr>
        <w:t>, para que</w:t>
      </w:r>
      <w:r>
        <w:rPr>
          <w:sz w:val="24"/>
          <w:szCs w:val="24"/>
        </w:rPr>
        <w:t xml:space="preserve"> pass</w:t>
      </w:r>
      <w:r w:rsidR="00C31079">
        <w:rPr>
          <w:sz w:val="24"/>
          <w:szCs w:val="24"/>
        </w:rPr>
        <w:t>e</w:t>
      </w:r>
      <w:r>
        <w:rPr>
          <w:sz w:val="24"/>
          <w:szCs w:val="24"/>
        </w:rPr>
        <w:t xml:space="preserve"> a ter a seguinte redação:</w:t>
      </w:r>
    </w:p>
    <w:p w:rsidR="00420B5E" w:rsidRDefault="00BA1929">
      <w:pPr>
        <w:shd w:val="clear" w:color="auto" w:fill="FFFFFF"/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“Art. 102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Além das concessões previstas no art. 100 desta Lei, são considerados co</w:t>
      </w:r>
      <w:r>
        <w:rPr>
          <w:sz w:val="24"/>
          <w:szCs w:val="24"/>
        </w:rPr>
        <w:t>mo de efetivo exercício os afastamentos decorrentes de:</w:t>
      </w:r>
    </w:p>
    <w:p w:rsidR="00420B5E" w:rsidRDefault="00BA1929">
      <w:pPr>
        <w:shd w:val="clear" w:color="auto" w:fill="FFFFFF"/>
        <w:spacing w:before="280" w:after="12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V - licença:</w:t>
      </w:r>
    </w:p>
    <w:p w:rsidR="00420B5E" w:rsidRDefault="00BA1929">
      <w:pPr>
        <w:shd w:val="clear" w:color="auto" w:fill="FFFFFF"/>
        <w:spacing w:before="280" w:after="32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b) para tratamento de saúde;”</w:t>
      </w:r>
    </w:p>
    <w:p w:rsidR="00420B5E" w:rsidRDefault="00BA1929">
      <w:pPr>
        <w:shd w:val="clear" w:color="auto" w:fill="FFFFFF"/>
        <w:spacing w:before="280" w:after="4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IV</w:t>
      </w:r>
      <w:r>
        <w:rPr>
          <w:sz w:val="24"/>
          <w:szCs w:val="24"/>
        </w:rPr>
        <w:t xml:space="preserve"> - </w:t>
      </w:r>
      <w:r w:rsidR="00C31079">
        <w:rPr>
          <w:sz w:val="24"/>
          <w:szCs w:val="24"/>
        </w:rPr>
        <w:t>Que</w:t>
      </w:r>
      <w:r>
        <w:rPr>
          <w:sz w:val="24"/>
          <w:szCs w:val="24"/>
        </w:rPr>
        <w:t xml:space="preserve"> o artigo 93 da lei Municipal 2838/2011, pass</w:t>
      </w:r>
      <w:r w:rsidR="00C31079">
        <w:rPr>
          <w:sz w:val="24"/>
          <w:szCs w:val="24"/>
        </w:rPr>
        <w:t>e</w:t>
      </w:r>
      <w:r>
        <w:rPr>
          <w:sz w:val="24"/>
          <w:szCs w:val="24"/>
        </w:rPr>
        <w:t xml:space="preserve"> a ter a seguinte redação:</w:t>
      </w:r>
    </w:p>
    <w:p w:rsidR="00420B5E" w:rsidRDefault="00BA1929">
      <w:pPr>
        <w:shd w:val="clear" w:color="auto" w:fill="FFFFFF"/>
        <w:spacing w:before="280" w:after="4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“Art. 93.</w:t>
      </w:r>
      <w:r>
        <w:rPr>
          <w:sz w:val="24"/>
          <w:szCs w:val="24"/>
        </w:rPr>
        <w:t xml:space="preserve"> Desde que prove ser indispensável a sua assistência pessoal e que não possa ser prestada simultaneamente com o exercício do cargo, ao funcionário será concedida licença por motivo de doença em pessoa da família.</w:t>
      </w:r>
    </w:p>
    <w:p w:rsidR="00420B5E" w:rsidRDefault="00BA1929">
      <w:p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1º Considerar-se-ão como pessoa da família, para os efeitos desta licença, os pais, o cônjuge, os filhos, ou pessoa que viva às suas expensas e conste de seu assentamento individual.</w:t>
      </w:r>
    </w:p>
    <w:p w:rsidR="00420B5E" w:rsidRDefault="00BA1929">
      <w:p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2º Provar-se-á a doença mediante inspeção médica.</w:t>
      </w:r>
    </w:p>
    <w:p w:rsidR="00420B5E" w:rsidRDefault="00BA1929">
      <w:p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3º A licença de s</w:t>
      </w:r>
      <w:r>
        <w:rPr>
          <w:sz w:val="24"/>
          <w:szCs w:val="24"/>
        </w:rPr>
        <w:t>e trata este artigo será concedida com vencimento e vantagens integrais até 6 (seis) meses, e com 2/3 (dois terços) do vencimento e vantagens, excedendo esse prazo até 2 (dois) anos.</w:t>
      </w:r>
    </w:p>
    <w:p w:rsidR="00420B5E" w:rsidRDefault="00BA1929">
      <w:p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4º Em cada período de 5 (cinco) anos, o funcionário só poderá beneficia</w:t>
      </w:r>
      <w:r>
        <w:rPr>
          <w:sz w:val="24"/>
          <w:szCs w:val="24"/>
        </w:rPr>
        <w:t>r-se de, no máximo, 2 (dois) anos de licença, de que trata este artigo, seguidos ou intercalados.</w:t>
      </w:r>
    </w:p>
    <w:p w:rsidR="00420B5E" w:rsidRDefault="00BA1929">
      <w:pPr>
        <w:shd w:val="clear" w:color="auto" w:fill="FFFFFF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5º O funcionário terá direito à percepção de um vencimento ao completar 6 (seis) meses consecutivos de licença para tratamento de doença em pessoa da famíli</w:t>
      </w:r>
      <w:r>
        <w:rPr>
          <w:sz w:val="24"/>
          <w:szCs w:val="24"/>
        </w:rPr>
        <w:t>a.”</w:t>
      </w:r>
    </w:p>
    <w:p w:rsidR="00420B5E" w:rsidRDefault="00BA1929">
      <w:pPr>
        <w:shd w:val="clear" w:color="auto" w:fill="FFFFFF"/>
        <w:spacing w:before="280" w:after="46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- Que se altere artigo 1º da lei Municipal 2838/2011 para que passe</w:t>
      </w:r>
      <w:r w:rsidR="00C31079">
        <w:rPr>
          <w:sz w:val="24"/>
          <w:szCs w:val="24"/>
        </w:rPr>
        <w:t xml:space="preserve"> </w:t>
      </w:r>
      <w:r>
        <w:rPr>
          <w:sz w:val="24"/>
          <w:szCs w:val="24"/>
        </w:rPr>
        <w:t>a ter a seguinte redação:</w:t>
      </w:r>
    </w:p>
    <w:p w:rsidR="00420B5E" w:rsidRDefault="00BA1929">
      <w:pPr>
        <w:shd w:val="clear" w:color="auto" w:fill="FFFFFF"/>
        <w:spacing w:before="280" w:after="4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Estatuto dos Profissionais da Guarda Civil Municipal de Niterói, instituído por esta Lei, tem a finalidade de definir os direitos e deveres, em ha</w:t>
      </w:r>
      <w:r>
        <w:rPr>
          <w:sz w:val="24"/>
          <w:szCs w:val="24"/>
        </w:rPr>
        <w:t>rmonia com a Lei 531/85 e Lei orgânica, tipificar as infrações disciplinares, regular as sanções administrativas, os procedimentos processuais correspondentes, os recursos, e o comportamento dos referidos servidores.”</w:t>
      </w:r>
    </w:p>
    <w:p w:rsidR="00420B5E" w:rsidRDefault="00420B5E">
      <w:pPr>
        <w:jc w:val="both"/>
        <w:rPr>
          <w:sz w:val="24"/>
          <w:szCs w:val="24"/>
        </w:rPr>
      </w:pPr>
    </w:p>
    <w:p w:rsidR="00420B5E" w:rsidRDefault="00BA1929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420B5E" w:rsidRDefault="00BA1929">
      <w:pPr>
        <w:spacing w:before="280" w:after="24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Servidores da Guarda Ci</w:t>
      </w:r>
      <w:r>
        <w:rPr>
          <w:sz w:val="24"/>
          <w:szCs w:val="24"/>
        </w:rPr>
        <w:t>vil Municipal de Niterói buscaram nosso mandato para solicitar as seguintes alterações legislativas que concernem aos seus direitos e condições de trabalho:</w:t>
      </w:r>
    </w:p>
    <w:p w:rsidR="00420B5E" w:rsidRDefault="00BA1929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Quanto ao artigo 56, da Lei 2838/2011, no texto atual lê-se:</w:t>
      </w:r>
    </w:p>
    <w:p w:rsidR="00420B5E" w:rsidRDefault="00BA1929">
      <w:pPr>
        <w:spacing w:before="240" w:after="24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“Art. 56: A jornada de trabalho do Gua</w:t>
      </w:r>
      <w:r>
        <w:rPr>
          <w:sz w:val="24"/>
          <w:szCs w:val="24"/>
        </w:rPr>
        <w:t>rda Municipal ocorrerá em escalas de 12 x 36 (doze por trinta e seis) e, 24 x 72 (vinte e quatro por setenta e dois) e de 40 (quarenta) horas semanais, esta última com expediente de 8 (oito) horas diárias.”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atual redação da lei 2838/2011 não há a escala 12 x 60, essa escala ja é utilizada por servidores da NITTRANS, que possui atribuições similares a guarda municipal, exemplo similar também foi adotado para os servidores da guarda municipal do Rio de Janei</w:t>
      </w:r>
      <w:r>
        <w:rPr>
          <w:sz w:val="24"/>
          <w:szCs w:val="24"/>
        </w:rPr>
        <w:t>ro que aboliu a escala 12 x 36 e adotou a 12 x 60. O atual efetivo da Guarda Municipal de niterói é suficiente para possibilitar a adoção da escala 12 x 60.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abolição da escala 12 x 36 para dar lugar a 12 x 60 tem o objetivo de melhorar a qualidade de vid</w:t>
      </w:r>
      <w:r>
        <w:rPr>
          <w:sz w:val="24"/>
          <w:szCs w:val="24"/>
        </w:rPr>
        <w:t>a no trabalho e a satisfação dos servidores, diminuindo a ocorrência de afastamentos, licenças médicas e doenças ocupacionais causados pela carga mais intensa e pouco tempo de restabelecimento físico e mental impostos na atual escala de 12 x 36.</w:t>
      </w:r>
    </w:p>
    <w:p w:rsidR="00420B5E" w:rsidRDefault="00BA1929">
      <w:pPr>
        <w:spacing w:before="280" w:after="24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ao </w:t>
      </w:r>
      <w:r>
        <w:rPr>
          <w:sz w:val="24"/>
          <w:szCs w:val="24"/>
        </w:rPr>
        <w:t>artigo 275, no texto atual lê-se: “Art. 275. Os casos omissos e as alterações do presente Estatuto serão resolvidos pelo Chefe do Executivo Municipal.”</w:t>
      </w:r>
    </w:p>
    <w:p w:rsidR="00420B5E" w:rsidRDefault="00BA1929">
      <w:pPr>
        <w:spacing w:before="280" w:after="24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Quanto ao artigo 102, inciso V, alínea b da lei municipal 2838/2011 de 30 maio de 2011, lê-se:</w:t>
      </w:r>
    </w:p>
    <w:p w:rsidR="00420B5E" w:rsidRDefault="00BA1929">
      <w:pPr>
        <w:spacing w:before="280" w:after="280" w:line="240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Art. 102. Além das concessões previstas no art. 100 desta Lei, são considerados como de efetivo exercício os afastamentos decorrentes de:</w:t>
      </w:r>
    </w:p>
    <w:p w:rsidR="00420B5E" w:rsidRDefault="00BA1929">
      <w:pPr>
        <w:spacing w:before="280" w:after="120" w:line="240" w:lineRule="auto"/>
        <w:ind w:left="2900"/>
        <w:jc w:val="both"/>
        <w:rPr>
          <w:sz w:val="24"/>
          <w:szCs w:val="24"/>
        </w:rPr>
      </w:pPr>
      <w:r>
        <w:rPr>
          <w:sz w:val="24"/>
          <w:szCs w:val="24"/>
        </w:rPr>
        <w:t>V - licença:</w:t>
      </w:r>
    </w:p>
    <w:p w:rsidR="00420B5E" w:rsidRDefault="00BA1929">
      <w:pPr>
        <w:spacing w:before="280" w:after="320" w:line="240" w:lineRule="auto"/>
        <w:ind w:left="2900"/>
        <w:jc w:val="both"/>
        <w:rPr>
          <w:sz w:val="24"/>
          <w:szCs w:val="24"/>
        </w:rPr>
      </w:pPr>
      <w:r>
        <w:rPr>
          <w:sz w:val="24"/>
          <w:szCs w:val="24"/>
        </w:rPr>
        <w:t>b) para tratamento de saúde, exceto para progressão profissional;”</w:t>
      </w:r>
    </w:p>
    <w:p w:rsidR="00420B5E" w:rsidRDefault="00BA1929">
      <w:pPr>
        <w:spacing w:before="280" w:after="1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parte da frase “exceto para progress</w:t>
      </w:r>
      <w:r>
        <w:rPr>
          <w:sz w:val="24"/>
          <w:szCs w:val="24"/>
        </w:rPr>
        <w:t>ão profissional” deve ser retirada do texto, pois a lei 2838/11 não define e/ou regulamenta o que é progressão profissional.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lei 3077/14 (Plano De Carreira, Cargos E Remuneração Dos Servidores Da Guarda Civil Municipal De Niterói) é regulamentado (defin</w:t>
      </w:r>
      <w:r>
        <w:rPr>
          <w:sz w:val="24"/>
          <w:szCs w:val="24"/>
        </w:rPr>
        <w:t>ido) de modo claro e conciso o tema supracitado e, por consequência, normatizando as “promoções” como crescimento horizontal no Art 14. e vertical no Art. 15.</w:t>
      </w:r>
    </w:p>
    <w:p w:rsidR="00420B5E" w:rsidRDefault="00BA1929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“Art. 14 O crescimento horizontal consiste na passagem </w:t>
      </w:r>
      <w:r>
        <w:rPr>
          <w:i/>
          <w:sz w:val="24"/>
          <w:szCs w:val="24"/>
          <w:u w:val="single"/>
        </w:rPr>
        <w:t>automática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de uma Referência a outra imedi</w:t>
      </w:r>
      <w:r>
        <w:rPr>
          <w:sz w:val="24"/>
          <w:szCs w:val="24"/>
        </w:rPr>
        <w:t>atamente superior, de acordo com o tempo de serviço, dentro dos seguintes critérios:”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“Art. 15 O crescimento vertical ocorrerá pelos critérios de antiguidade e merecimento.”</w:t>
      </w:r>
    </w:p>
    <w:p w:rsidR="00420B5E" w:rsidRDefault="00BA1929">
      <w:pPr>
        <w:spacing w:before="28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Mesmo a lei corroborando os tipos de promoções e quais são os critérios das mesmas</w:t>
      </w:r>
      <w:r>
        <w:rPr>
          <w:sz w:val="24"/>
          <w:szCs w:val="24"/>
        </w:rPr>
        <w:t>, esse pequeno trecho da lei 2838/111 ”exceto progressão profissional” acaba retardando a promoção definida (regimentada) como crescimento horizontal na lei 3077/14, pelo tempo que perduraram suas licenças, seja para tratamento de saúde do próprio servidor</w:t>
      </w:r>
      <w:r>
        <w:rPr>
          <w:sz w:val="24"/>
          <w:szCs w:val="24"/>
        </w:rPr>
        <w:t xml:space="preserve"> e/ou de seus dependentes.</w:t>
      </w:r>
    </w:p>
    <w:p w:rsidR="00420B5E" w:rsidRDefault="00BA1929">
      <w:pPr>
        <w:spacing w:before="280" w:after="3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 pequeno trecho não deveria atrasar o crescimento horizontal definido (regido) como automático na lei 3077/14, lei posterior a 2838/11.</w:t>
      </w:r>
    </w:p>
    <w:p w:rsidR="00420B5E" w:rsidRDefault="00BA1929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elucidar quaisquer dúvidas seguem os critérios que impedem a aquisição desta:</w:t>
      </w:r>
    </w:p>
    <w:p w:rsidR="00420B5E" w:rsidRDefault="00BA1929">
      <w:pPr>
        <w:spacing w:before="240" w:after="32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“Art.1</w:t>
      </w:r>
      <w:r>
        <w:rPr>
          <w:sz w:val="24"/>
          <w:szCs w:val="24"/>
        </w:rPr>
        <w:t>4. Parágrafo único - Não haverá crescimento horizontal automático, enquanto perdurar a situação geradora do impedimento, o servidor submetido a uma ou mais das seguintes hipóteses:</w:t>
      </w:r>
    </w:p>
    <w:p w:rsidR="00420B5E" w:rsidRDefault="00BA1929">
      <w:pPr>
        <w:spacing w:before="240" w:after="240" w:line="240" w:lineRule="auto"/>
        <w:ind w:left="3580"/>
        <w:jc w:val="both"/>
        <w:rPr>
          <w:sz w:val="24"/>
          <w:szCs w:val="24"/>
        </w:rPr>
      </w:pPr>
      <w:r>
        <w:rPr>
          <w:sz w:val="24"/>
          <w:szCs w:val="24"/>
        </w:rPr>
        <w:t>I - preso provisoriamente;</w:t>
      </w:r>
    </w:p>
    <w:p w:rsidR="00420B5E" w:rsidRDefault="00BA1929">
      <w:pPr>
        <w:spacing w:before="240" w:after="240" w:line="240" w:lineRule="auto"/>
        <w:ind w:left="3580"/>
        <w:jc w:val="both"/>
        <w:rPr>
          <w:sz w:val="24"/>
          <w:szCs w:val="24"/>
        </w:rPr>
      </w:pPr>
      <w:r>
        <w:rPr>
          <w:sz w:val="24"/>
          <w:szCs w:val="24"/>
        </w:rPr>
        <w:t>II - submetido à medida cautelar diversa da pris</w:t>
      </w:r>
      <w:r>
        <w:rPr>
          <w:sz w:val="24"/>
          <w:szCs w:val="24"/>
        </w:rPr>
        <w:t>ão;</w:t>
      </w:r>
    </w:p>
    <w:p w:rsidR="00420B5E" w:rsidRDefault="00BA1929">
      <w:pPr>
        <w:spacing w:before="240" w:after="240" w:line="240" w:lineRule="auto"/>
        <w:ind w:left="3580"/>
        <w:jc w:val="both"/>
        <w:rPr>
          <w:sz w:val="24"/>
          <w:szCs w:val="24"/>
        </w:rPr>
      </w:pPr>
      <w:r>
        <w:rPr>
          <w:sz w:val="24"/>
          <w:szCs w:val="24"/>
        </w:rPr>
        <w:t>III - condenado a pena privativa de liberdade ou restritiva de direitos, enquanto perdurar seu cumprimento;</w:t>
      </w:r>
    </w:p>
    <w:p w:rsidR="00420B5E" w:rsidRDefault="00BA1929">
      <w:pPr>
        <w:spacing w:before="240" w:after="240" w:line="240" w:lineRule="auto"/>
        <w:ind w:left="3580"/>
        <w:jc w:val="both"/>
        <w:rPr>
          <w:sz w:val="24"/>
          <w:szCs w:val="24"/>
        </w:rPr>
      </w:pPr>
      <w:r>
        <w:rPr>
          <w:sz w:val="24"/>
          <w:szCs w:val="24"/>
        </w:rPr>
        <w:t>IV - classificado no comportamento insuficiente;</w:t>
      </w:r>
    </w:p>
    <w:p w:rsidR="00420B5E" w:rsidRDefault="00BA1929">
      <w:pPr>
        <w:spacing w:before="240" w:after="240" w:line="240" w:lineRule="auto"/>
        <w:ind w:left="3580"/>
        <w:jc w:val="both"/>
        <w:rPr>
          <w:sz w:val="24"/>
          <w:szCs w:val="24"/>
        </w:rPr>
      </w:pPr>
      <w:r>
        <w:rPr>
          <w:sz w:val="24"/>
          <w:szCs w:val="24"/>
        </w:rPr>
        <w:t>V - suspenso preventivamente;</w:t>
      </w:r>
    </w:p>
    <w:p w:rsidR="00420B5E" w:rsidRDefault="00BA1929">
      <w:pPr>
        <w:spacing w:before="240" w:after="240" w:line="240" w:lineRule="auto"/>
        <w:ind w:left="3580"/>
        <w:jc w:val="both"/>
        <w:rPr>
          <w:sz w:val="24"/>
          <w:szCs w:val="24"/>
        </w:rPr>
      </w:pPr>
      <w:r>
        <w:rPr>
          <w:sz w:val="24"/>
          <w:szCs w:val="24"/>
        </w:rPr>
        <w:t>VI - indicado à demissão ou demissão a bem do serviço público, até decisão final da autoridade competente.”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Atendendo a justa demanda da categoria solicitamos a alteração do Art 102, inciso V, alínea b da lei 2838/2011 para que seja garantido o justo direi</w:t>
      </w:r>
      <w:r>
        <w:rPr>
          <w:sz w:val="24"/>
          <w:szCs w:val="24"/>
        </w:rPr>
        <w:t>to de progressão.</w:t>
      </w:r>
    </w:p>
    <w:p w:rsidR="00420B5E" w:rsidRDefault="00BA1929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texto atual, no artigo 93, lê-se:</w:t>
      </w:r>
    </w:p>
    <w:p w:rsidR="00420B5E" w:rsidRDefault="00BA1929">
      <w:pPr>
        <w:spacing w:before="240" w:after="24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“Art 93: A licença será concedida, sem prejuízo da remuneração, pelo prazo de até 30 (trinta) dias, consecutivos ou não, em cada período de 12 (doze) meses, excedido o qual a concessão passará a ser se</w:t>
      </w:r>
      <w:r>
        <w:rPr>
          <w:sz w:val="24"/>
          <w:szCs w:val="24"/>
        </w:rPr>
        <w:t>m remuneração.</w:t>
      </w:r>
    </w:p>
    <w:p w:rsidR="00420B5E" w:rsidRDefault="00BA1929">
      <w:pPr>
        <w:spacing w:before="240" w:after="24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Parágrafo Único - É assegurado ao integrante da Guarda Civil Municipal afastar-se da atividade a partir da data do requerimento da licença, devidamente motivado, e o seu indeferimento obrigará o imediato retorno do mesmo e a transformação do</w:t>
      </w:r>
      <w:r>
        <w:rPr>
          <w:sz w:val="24"/>
          <w:szCs w:val="24"/>
        </w:rPr>
        <w:t>s dias de afastamento em licença sem remuneração.”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atual texto fere a isonomia entre os servidores municipais pois há uma grande disparidade entre outros servidores e os da Guarda Municipal em relação a autorização para licença por motivo de doença em pe</w:t>
      </w:r>
      <w:r>
        <w:rPr>
          <w:sz w:val="24"/>
          <w:szCs w:val="24"/>
        </w:rPr>
        <w:t>ssoa da família. Essa disparidade ocorre devido a falta de harmonia entre a lei 2838/2011 e a lei 531/1985, que prejudica os servidores da Guarda Municipal de Niterói.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Quanto à alteração sugerida ao Artigo 1º, No texto atual do referido artigo se lê:</w:t>
      </w:r>
    </w:p>
    <w:p w:rsidR="00420B5E" w:rsidRDefault="00BA1929">
      <w:pPr>
        <w:spacing w:before="240" w:after="24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>
        <w:rPr>
          <w:sz w:val="24"/>
          <w:szCs w:val="24"/>
        </w:rPr>
        <w:t xml:space="preserve"> 1º: O Estatuto dos Profissionais da Guarda Civil Municipal de Niterói, instituído por esta Lei, tem a finalidade de definir os deveres, tipificar as infrações disciplinares, regular as sanções administrativas, os procedimentos processuais correspondentes,</w:t>
      </w:r>
      <w:r>
        <w:rPr>
          <w:sz w:val="24"/>
          <w:szCs w:val="24"/>
        </w:rPr>
        <w:t xml:space="preserve"> os recursos, e o comportamento dos referidos servidores.</w:t>
      </w:r>
    </w:p>
    <w:p w:rsidR="00420B5E" w:rsidRDefault="00BA1929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a redação atual os servidores da Guarda Municipal ficam dissociados do quadro de pessoal da Prefeitura Municipal de Niterói e impedidos de fazer uso de direitos adquiridos pertinentes </w:t>
      </w:r>
      <w:r>
        <w:rPr>
          <w:sz w:val="24"/>
          <w:szCs w:val="24"/>
        </w:rPr>
        <w:t>aos demais servidores já que na lei 2838/2011 não há correlação com a lei 531/1985 que estabelece o Regime Jurídico dos Funcionários Públicos do Poder Executivo do Município de Niterói.</w:t>
      </w:r>
    </w:p>
    <w:p w:rsidR="00420B5E" w:rsidRDefault="00420B5E">
      <w:pPr>
        <w:spacing w:line="240" w:lineRule="auto"/>
        <w:jc w:val="right"/>
        <w:rPr>
          <w:sz w:val="24"/>
          <w:szCs w:val="24"/>
        </w:rPr>
      </w:pPr>
    </w:p>
    <w:p w:rsidR="00420B5E" w:rsidRDefault="00C31079">
      <w:pPr>
        <w:jc w:val="right"/>
        <w:rPr>
          <w:sz w:val="24"/>
          <w:szCs w:val="24"/>
        </w:rPr>
      </w:pPr>
      <w:r>
        <w:rPr>
          <w:sz w:val="24"/>
          <w:szCs w:val="24"/>
        </w:rPr>
        <w:t>Plenário Brígido Tinoco</w:t>
      </w:r>
      <w:r w:rsidR="00BA1929">
        <w:rPr>
          <w:sz w:val="24"/>
          <w:szCs w:val="24"/>
        </w:rPr>
        <w:t>, 2</w:t>
      </w:r>
      <w:r>
        <w:rPr>
          <w:sz w:val="24"/>
          <w:szCs w:val="24"/>
        </w:rPr>
        <w:t>8</w:t>
      </w:r>
      <w:r w:rsidR="00BA1929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="00BA1929">
        <w:rPr>
          <w:sz w:val="24"/>
          <w:szCs w:val="24"/>
        </w:rPr>
        <w:t xml:space="preserve"> de 2021</w:t>
      </w:r>
    </w:p>
    <w:p w:rsidR="00420B5E" w:rsidRDefault="00420B5E">
      <w:pPr>
        <w:jc w:val="center"/>
        <w:rPr>
          <w:sz w:val="24"/>
          <w:szCs w:val="24"/>
        </w:rPr>
      </w:pPr>
    </w:p>
    <w:p w:rsidR="00420B5E" w:rsidRDefault="00420B5E">
      <w:pPr>
        <w:spacing w:line="240" w:lineRule="auto"/>
        <w:jc w:val="center"/>
        <w:rPr>
          <w:sz w:val="24"/>
          <w:szCs w:val="24"/>
        </w:rPr>
      </w:pPr>
    </w:p>
    <w:p w:rsidR="00420B5E" w:rsidRDefault="00420B5E">
      <w:pPr>
        <w:spacing w:line="240" w:lineRule="auto"/>
        <w:rPr>
          <w:sz w:val="24"/>
          <w:szCs w:val="24"/>
        </w:rPr>
      </w:pPr>
    </w:p>
    <w:p w:rsidR="00420B5E" w:rsidRDefault="00BA1929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</w:p>
    <w:p w:rsidR="00420B5E" w:rsidRDefault="00BA19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</w:t>
      </w:r>
      <w:r>
        <w:rPr>
          <w:b/>
          <w:sz w:val="24"/>
          <w:szCs w:val="24"/>
        </w:rPr>
        <w:t>essor Tulio</w:t>
      </w:r>
    </w:p>
    <w:p w:rsidR="00420B5E" w:rsidRDefault="00420B5E">
      <w:pPr>
        <w:spacing w:line="240" w:lineRule="auto"/>
        <w:jc w:val="center"/>
        <w:rPr>
          <w:b/>
          <w:sz w:val="24"/>
          <w:szCs w:val="24"/>
        </w:rPr>
      </w:pPr>
    </w:p>
    <w:p w:rsidR="00420B5E" w:rsidRDefault="00420B5E">
      <w:pPr>
        <w:spacing w:line="240" w:lineRule="auto"/>
        <w:jc w:val="center"/>
        <w:rPr>
          <w:sz w:val="24"/>
          <w:szCs w:val="24"/>
        </w:rPr>
      </w:pPr>
    </w:p>
    <w:sectPr w:rsidR="00420B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E"/>
    <w:rsid w:val="00420B5E"/>
    <w:rsid w:val="00BA1929"/>
    <w:rsid w:val="00C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D334"/>
  <w15:docId w15:val="{726F088D-53AC-4CCB-8740-4D924EED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1467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</cp:lastModifiedBy>
  <cp:revision>3</cp:revision>
  <dcterms:created xsi:type="dcterms:W3CDTF">2021-09-28T15:45:00Z</dcterms:created>
  <dcterms:modified xsi:type="dcterms:W3CDTF">2021-09-28T15:50:00Z</dcterms:modified>
</cp:coreProperties>
</file>