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2021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539" w:hanging="3.000000000000113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Secretaria das Culturas que restaure o memorial Árvore da Patrícia, na praia de Icaraí.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Secretaria das Culturas que restaure a placa Árvore da Patrícia, na praia de Icaraí.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11 de agosto de 2021.</w:t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Walkíria Nictheroy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Vereadora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O memorial foi construído em homenagem à juíza Patrícia Acioli, na Praia de Icaraí. Patrícia foi brutalmente assassinada por milicianos após descobrir, em 2010, diversas irregularidades em processos de crimes cometidos por policiais militares do </w:t>
      </w:r>
      <w:r w:rsidDel="00000000" w:rsidR="00000000" w:rsidRPr="00000000">
        <w:rPr>
          <w:sz w:val="24"/>
          <w:szCs w:val="24"/>
          <w:rtl w:val="0"/>
        </w:rPr>
        <w:t xml:space="preserve">7º BPM, chamando a atenção da sociedade para o grave problema representado por essas máfias, que até então eram vistas até mesmo com admiração por figuras políticas, tornou-se após isso um dos alvos da milícia.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memorial necessita de reparo: o canteiro está enferrujado, a placa está com sujeira e visibilidade comprometida e a grama precisa de manutenção.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Desde já, contamos com o apoio dessa egrégia Casa Legislativa.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>
        <w:rtl w:val="0"/>
      </w:rPr>
      <w:t xml:space="preserve">Av. Ernani do Amaral Peixoto, 625, gabinete 47, Centro. Niterói – RJ</w:t>
    </w:r>
  </w:p>
  <w:p w:rsidR="00000000" w:rsidDel="00000000" w:rsidP="00000000" w:rsidRDefault="00000000" w:rsidRPr="00000000" w14:paraId="00000016">
    <w:pPr>
      <w:jc w:val="cente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profwalkirianictheroy@gmail.com</w:t>
      </w:r>
    </w:hyperlink>
    <w:r w:rsidDel="00000000" w:rsidR="00000000" w:rsidRPr="00000000">
      <w:rPr>
        <w:rtl w:val="0"/>
      </w:rPr>
      <w:t xml:space="preserve">. </w:t>
    </w:r>
  </w:p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>
        <w:rtl w:val="0"/>
      </w:rPr>
      <w:t xml:space="preserve">Tel: (21) 3716-8600 Ramal 218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da Vereadora Walkíria Nictheroy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fwalkirianictheroy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GsgVy0V7isr9MAByYJRffm8Ug==">AMUW2mVWoOmPiJLHqdWrd1ybcTlnElkvf6Uz9von6YWTg8QegewFjRzh9WgEH66Z7hHkD5o//WLfLv8FAoFAnKcUi7V1Gp0PNN5WsyiopKDGISwRT+kXr3hsP3sW0ArKbvPi79BiDDoP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2021-08-11T15:10:00Z</dcterms:created>
  <dc:creator>Vereadora Walkiria</dc:creator>
</cp:coreProperties>
</file>