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hd w:fill="ffffff" w:val="clear"/>
        <w:spacing w:after="160" w:line="211.76470588235293" w:lineRule="auto"/>
        <w:jc w:val="center"/>
        <w:rPr>
          <w:rFonts w:ascii="Times New Roman" w:cs="Times New Roman" w:eastAsia="Times New Roman" w:hAnsi="Times New Roman"/>
          <w:b w:val="1"/>
          <w:sz w:val="24"/>
          <w:szCs w:val="24"/>
        </w:rPr>
      </w:pPr>
      <w:bookmarkStart w:colFirst="0" w:colLast="0" w:name="_y2ahyhhd5spc" w:id="0"/>
      <w:bookmarkEnd w:id="0"/>
      <w:r w:rsidDel="00000000" w:rsidR="00000000" w:rsidRPr="00000000">
        <w:rPr>
          <w:rFonts w:ascii="Times New Roman" w:cs="Times New Roman" w:eastAsia="Times New Roman" w:hAnsi="Times New Roman"/>
          <w:b w:val="1"/>
          <w:sz w:val="24"/>
          <w:szCs w:val="24"/>
          <w:rtl w:val="0"/>
        </w:rPr>
        <w:t xml:space="preserve">Projeto de Lei N°    /2020</w:t>
      </w:r>
    </w:p>
    <w:p w:rsidR="00000000" w:rsidDel="00000000" w:rsidP="00000000" w:rsidRDefault="00000000" w:rsidRPr="00000000" w14:paraId="00000002">
      <w:pPr>
        <w:pStyle w:val="Heading2"/>
        <w:keepNext w:val="0"/>
        <w:keepLines w:val="0"/>
        <w:shd w:fill="ffffff" w:val="clear"/>
        <w:spacing w:after="160" w:line="211.76470588235293" w:lineRule="auto"/>
        <w:ind w:left="4535.433070866142" w:firstLine="0"/>
        <w:jc w:val="both"/>
        <w:rPr>
          <w:rFonts w:ascii="Times New Roman" w:cs="Times New Roman" w:eastAsia="Times New Roman" w:hAnsi="Times New Roman"/>
          <w:b w:val="1"/>
          <w:sz w:val="24"/>
          <w:szCs w:val="24"/>
        </w:rPr>
      </w:pPr>
      <w:bookmarkStart w:colFirst="0" w:colLast="0" w:name="_xg0ddkkboi0q" w:id="1"/>
      <w:bookmarkEnd w:id="1"/>
      <w:r w:rsidDel="00000000" w:rsidR="00000000" w:rsidRPr="00000000">
        <w:rPr>
          <w:b w:val="1"/>
          <w:sz w:val="24"/>
          <w:szCs w:val="24"/>
          <w:highlight w:val="white"/>
          <w:rtl w:val="0"/>
        </w:rPr>
        <w:t xml:space="preserve">Altera o art</w:t>
      </w:r>
      <w:r w:rsidDel="00000000" w:rsidR="00000000" w:rsidRPr="00000000">
        <w:rPr>
          <w:b w:val="1"/>
          <w:sz w:val="28"/>
          <w:szCs w:val="28"/>
          <w:highlight w:val="white"/>
          <w:rtl w:val="0"/>
        </w:rPr>
        <w:t xml:space="preserve">. 10 da lei Municipal 3077/2014 de 27 de fevereiro de 2014.</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hd w:fill="ffffff" w:val="clear"/>
        <w:spacing w:after="4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1 - Altera o artigo 10 da lei Municipal 3077/2014 que passa a ter a seguinte redação:</w:t>
      </w:r>
    </w:p>
    <w:p w:rsidR="00000000" w:rsidDel="00000000" w:rsidP="00000000" w:rsidRDefault="00000000" w:rsidRPr="00000000" w14:paraId="00000005">
      <w:pPr>
        <w:shd w:fill="ffffff" w:val="clear"/>
        <w:spacing w:after="180" w:line="360" w:lineRule="auto"/>
        <w:ind w:left="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Art 10: A evolução funcional do servidor será baseada no tempo de serviço efetivamente exercido na Guarda Civil Municipal de Niterói.</w:t>
      </w:r>
    </w:p>
    <w:p w:rsidR="00000000" w:rsidDel="00000000" w:rsidP="00000000" w:rsidRDefault="00000000" w:rsidRPr="00000000" w14:paraId="00000006">
      <w:pPr>
        <w:shd w:fill="ffffff" w:val="clear"/>
        <w:spacing w:after="180" w:line="360" w:lineRule="auto"/>
        <w:ind w:left="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Inciso I - As graduações por tempo de serviço ocorrem da seguinte forma: </w:t>
      </w:r>
    </w:p>
    <w:p w:rsidR="00000000" w:rsidDel="00000000" w:rsidP="00000000" w:rsidRDefault="00000000" w:rsidRPr="00000000" w14:paraId="00000007">
      <w:pPr>
        <w:shd w:fill="ffffff" w:val="clear"/>
        <w:spacing w:after="180" w:line="360" w:lineRule="auto"/>
        <w:ind w:left="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GCM 3 ° CLASSE </w:t>
        <w:tab/>
        <w:t xml:space="preserve">DATA DA ADMISSÃO </w:t>
      </w:r>
    </w:p>
    <w:p w:rsidR="00000000" w:rsidDel="00000000" w:rsidP="00000000" w:rsidRDefault="00000000" w:rsidRPr="00000000" w14:paraId="00000008">
      <w:pPr>
        <w:shd w:fill="ffffff" w:val="clear"/>
        <w:spacing w:after="180" w:line="360" w:lineRule="auto"/>
        <w:ind w:left="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GCM 2°  CLASSE </w:t>
        <w:tab/>
        <w:t xml:space="preserve">03 ANOS </w:t>
      </w:r>
    </w:p>
    <w:p w:rsidR="00000000" w:rsidDel="00000000" w:rsidP="00000000" w:rsidRDefault="00000000" w:rsidRPr="00000000" w14:paraId="00000009">
      <w:pPr>
        <w:shd w:fill="ffffff" w:val="clear"/>
        <w:spacing w:after="180" w:line="360" w:lineRule="auto"/>
        <w:ind w:left="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GCM 1°  CLASSE </w:t>
        <w:tab/>
        <w:t xml:space="preserve">04 ANOS </w:t>
      </w:r>
    </w:p>
    <w:p w:rsidR="00000000" w:rsidDel="00000000" w:rsidP="00000000" w:rsidRDefault="00000000" w:rsidRPr="00000000" w14:paraId="0000000A">
      <w:pPr>
        <w:shd w:fill="ffffff" w:val="clear"/>
        <w:spacing w:after="180" w:line="360" w:lineRule="auto"/>
        <w:ind w:left="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COORDENADOR  GCM 2° CLASSE  06 ANOS </w:t>
      </w:r>
    </w:p>
    <w:p w:rsidR="00000000" w:rsidDel="00000000" w:rsidP="00000000" w:rsidRDefault="00000000" w:rsidRPr="00000000" w14:paraId="0000000B">
      <w:pPr>
        <w:shd w:fill="ffffff" w:val="clear"/>
        <w:spacing w:after="180" w:line="360" w:lineRule="auto"/>
        <w:ind w:left="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COORDENADOR GCM 1° CLASSE  10  ANOS </w:t>
      </w:r>
    </w:p>
    <w:p w:rsidR="00000000" w:rsidDel="00000000" w:rsidP="00000000" w:rsidRDefault="00000000" w:rsidRPr="00000000" w14:paraId="0000000C">
      <w:pPr>
        <w:shd w:fill="ffffff" w:val="clear"/>
        <w:spacing w:after="180" w:line="360" w:lineRule="auto"/>
        <w:ind w:left="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SUBINSPETOR 2  ° CLASSE  14 ANOS </w:t>
      </w:r>
    </w:p>
    <w:p w:rsidR="00000000" w:rsidDel="00000000" w:rsidP="00000000" w:rsidRDefault="00000000" w:rsidRPr="00000000" w14:paraId="0000000D">
      <w:pPr>
        <w:shd w:fill="ffffff" w:val="clear"/>
        <w:spacing w:after="180" w:line="360" w:lineRule="auto"/>
        <w:ind w:left="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SUBINSPETOR 1 ° CLASSE   18 ANOS  </w:t>
      </w:r>
    </w:p>
    <w:p w:rsidR="00000000" w:rsidDel="00000000" w:rsidP="00000000" w:rsidRDefault="00000000" w:rsidRPr="00000000" w14:paraId="0000000E">
      <w:pPr>
        <w:shd w:fill="ffffff" w:val="clear"/>
        <w:spacing w:after="180" w:line="360" w:lineRule="auto"/>
        <w:ind w:left="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INSPETOR 2 ° CLASSE </w:t>
        <w:tab/>
        <w:t xml:space="preserve">22 ANOS </w:t>
      </w:r>
    </w:p>
    <w:p w:rsidR="00000000" w:rsidDel="00000000" w:rsidP="00000000" w:rsidRDefault="00000000" w:rsidRPr="00000000" w14:paraId="0000000F">
      <w:pPr>
        <w:shd w:fill="ffffff" w:val="clear"/>
        <w:spacing w:after="180" w:line="360" w:lineRule="auto"/>
        <w:ind w:left="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INSPETOR 1 °  CLASSE </w:t>
        <w:tab/>
        <w:t xml:space="preserve">26 ANOS</w:t>
      </w:r>
    </w:p>
    <w:p w:rsidR="00000000" w:rsidDel="00000000" w:rsidP="00000000" w:rsidRDefault="00000000" w:rsidRPr="00000000" w14:paraId="00000010">
      <w:pPr>
        <w:shd w:fill="ffffff" w:val="clear"/>
        <w:spacing w:after="180" w:line="360" w:lineRule="auto"/>
        <w:ind w:left="2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1">
      <w:pPr>
        <w:shd w:fill="ffffff" w:val="clear"/>
        <w:spacing w:after="200" w:line="360"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Alínea a: a carreira de guarda municipal é constituída de </w:t>
      </w:r>
      <w:r w:rsidDel="00000000" w:rsidR="00000000" w:rsidRPr="00000000">
        <w:rPr>
          <w:rFonts w:ascii="Times New Roman" w:cs="Times New Roman" w:eastAsia="Times New Roman" w:hAnsi="Times New Roman"/>
          <w:sz w:val="24"/>
          <w:szCs w:val="24"/>
          <w:highlight w:val="white"/>
          <w:rtl w:val="0"/>
        </w:rPr>
        <w:t xml:space="preserve">cargos ,com promoção por tempo de serviço,</w:t>
      </w:r>
      <w:r w:rsidDel="00000000" w:rsidR="00000000" w:rsidRPr="00000000">
        <w:rPr>
          <w:rFonts w:ascii="Times New Roman" w:cs="Times New Roman" w:eastAsia="Times New Roman" w:hAnsi="Times New Roman"/>
          <w:sz w:val="24"/>
          <w:szCs w:val="24"/>
          <w:highlight w:val="white"/>
          <w:rtl w:val="0"/>
        </w:rPr>
        <w:t xml:space="preserve"> sendo  utilizada nomenclatura á partir dos 06 ( seis) anos agregada ao servidor. </w:t>
      </w:r>
    </w:p>
    <w:p w:rsidR="00000000" w:rsidDel="00000000" w:rsidP="00000000" w:rsidRDefault="00000000" w:rsidRPr="00000000" w14:paraId="00000012">
      <w:pPr>
        <w:shd w:fill="ffffff" w:val="clear"/>
        <w:spacing w:after="180" w:line="360" w:lineRule="auto"/>
        <w:ind w:left="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Alínea b: entende-se como cargo todas as atividades executadas por um servidor ocupante do quadro da Guarda Civil Municipal, situado em uma posição no organograma organizacional. Alínea c: a posição do cargo no organograma define o nível hierárquico do servidor, como a quem reportará e sobre quem exercerá autoridade que , pode ser localizado nas seguintes formas: guarnição, seção, departamento, grupamento, coordenadoria, subinspetoria, inspetorias, inspetoria de dia, inspetoria geral ou semelhante. </w:t>
      </w:r>
    </w:p>
    <w:p w:rsidR="00000000" w:rsidDel="00000000" w:rsidP="00000000" w:rsidRDefault="00000000" w:rsidRPr="00000000" w14:paraId="00000013">
      <w:pPr>
        <w:shd w:fill="ffffff" w:val="clear"/>
        <w:spacing w:after="180" w:line="360" w:lineRule="auto"/>
        <w:ind w:left="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Alínea d: as promoções por tempo de serviço independem de curso de qualificação profissional, este somente será necessário para funções de chefia, que serão preferencialmente reservadas para os primeiros colocados no curso. Não havendo pretensão por parte do 1° colocado em exercer função de chefia, esta passará ao posterior na ordem de classificação e assim sucessivamente, desta forma a função de chefia passa a ser por mérito e não por ”mera” indicação. </w:t>
      </w:r>
    </w:p>
    <w:p w:rsidR="00000000" w:rsidDel="00000000" w:rsidP="00000000" w:rsidRDefault="00000000" w:rsidRPr="00000000" w14:paraId="00000014">
      <w:pPr>
        <w:shd w:fill="ffffff" w:val="clear"/>
        <w:spacing w:after="180" w:line="360" w:lineRule="auto"/>
        <w:ind w:left="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Paragrafo único: ficará a cargo do inspetor geral a escolha dos servidores ,guardas municipais, que ocuparão os cargos de assessoramento. </w:t>
      </w:r>
    </w:p>
    <w:p w:rsidR="00000000" w:rsidDel="00000000" w:rsidP="00000000" w:rsidRDefault="00000000" w:rsidRPr="00000000" w14:paraId="00000015">
      <w:pPr>
        <w:shd w:fill="ffffff" w:val="clear"/>
        <w:spacing w:after="4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2- Essa lei em vigor a partir da data de sua publicação.</w:t>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hd w:fill="ffffff" w:val="clea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Plenário Brígido Tinoco, 26 de Novembro de 2020.</w:t>
      </w:r>
    </w:p>
    <w:p w:rsidR="00000000" w:rsidDel="00000000" w:rsidP="00000000" w:rsidRDefault="00000000" w:rsidRPr="00000000" w14:paraId="00000018">
      <w:pPr>
        <w:shd w:fill="ffffff" w:val="clear"/>
        <w:spacing w:line="240" w:lineRule="auto"/>
        <w:ind w:left="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hd w:fill="ffffff" w:val="clear"/>
        <w:spacing w:line="240" w:lineRule="auto"/>
        <w:ind w:left="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hd w:fill="ffffff" w:val="clear"/>
        <w:spacing w:line="240" w:lineRule="auto"/>
        <w:ind w:left="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hd w:fill="ffffff" w:val="clear"/>
        <w:spacing w:line="240" w:lineRule="auto"/>
        <w:ind w:left="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hd w:fill="ffffff" w:val="clea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Leonardo Giordano</w:t>
      </w:r>
    </w:p>
    <w:p w:rsidR="00000000" w:rsidDel="00000000" w:rsidP="00000000" w:rsidRDefault="00000000" w:rsidRPr="00000000" w14:paraId="0000001D">
      <w:pPr>
        <w:shd w:fill="ffffff" w:val="clea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Vereador</w:t>
      </w:r>
    </w:p>
    <w:p w:rsidR="00000000" w:rsidDel="00000000" w:rsidP="00000000" w:rsidRDefault="00000000" w:rsidRPr="00000000" w14:paraId="0000001E">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Justificativa</w:t>
      </w:r>
    </w:p>
    <w:p w:rsidR="00000000" w:rsidDel="00000000" w:rsidP="00000000" w:rsidRDefault="00000000" w:rsidRPr="00000000" w14:paraId="00000022">
      <w:pPr>
        <w:rPr/>
      </w:pPr>
      <w:r w:rsidDel="00000000" w:rsidR="00000000" w:rsidRPr="00000000">
        <w:rPr>
          <w:rtl w:val="0"/>
        </w:rPr>
        <w:t xml:space="preserve"> </w:t>
      </w:r>
    </w:p>
    <w:p w:rsidR="00000000" w:rsidDel="00000000" w:rsidP="00000000" w:rsidRDefault="00000000" w:rsidRPr="00000000" w14:paraId="00000023">
      <w:pPr>
        <w:spacing w:line="360" w:lineRule="auto"/>
        <w:ind w:firstLine="720"/>
        <w:jc w:val="both"/>
        <w:rPr>
          <w:sz w:val="24"/>
          <w:szCs w:val="24"/>
        </w:rPr>
      </w:pPr>
      <w:r w:rsidDel="00000000" w:rsidR="00000000" w:rsidRPr="00000000">
        <w:rPr>
          <w:sz w:val="24"/>
          <w:szCs w:val="24"/>
          <w:rtl w:val="0"/>
        </w:rPr>
        <w:t xml:space="preserve">Servidores da Guarda Civil Municipal de Niterói buscaram esta casa legislativa para solicitar demandas da categoria, uma das demandas é a alteração do Art 10 da lei municipal 3077/2014 de 27 fevereiro de 2014.</w:t>
      </w:r>
    </w:p>
    <w:p w:rsidR="00000000" w:rsidDel="00000000" w:rsidP="00000000" w:rsidRDefault="00000000" w:rsidRPr="00000000" w14:paraId="00000024">
      <w:pPr>
        <w:spacing w:line="360" w:lineRule="auto"/>
        <w:ind w:firstLine="720"/>
        <w:jc w:val="both"/>
        <w:rPr>
          <w:sz w:val="24"/>
          <w:szCs w:val="24"/>
        </w:rPr>
      </w:pPr>
      <w:r w:rsidDel="00000000" w:rsidR="00000000" w:rsidRPr="00000000">
        <w:rPr>
          <w:sz w:val="24"/>
          <w:szCs w:val="24"/>
          <w:rtl w:val="0"/>
        </w:rPr>
        <w:t xml:space="preserve">No texto atual do referido artigo se lê:</w:t>
      </w:r>
    </w:p>
    <w:p w:rsidR="00000000" w:rsidDel="00000000" w:rsidP="00000000" w:rsidRDefault="00000000" w:rsidRPr="00000000" w14:paraId="00000025">
      <w:pPr>
        <w:spacing w:line="360" w:lineRule="auto"/>
        <w:ind w:left="3600" w:firstLine="280"/>
        <w:jc w:val="both"/>
        <w:rPr>
          <w:sz w:val="24"/>
          <w:szCs w:val="24"/>
        </w:rPr>
      </w:pPr>
      <w:r w:rsidDel="00000000" w:rsidR="00000000" w:rsidRPr="00000000">
        <w:rPr>
          <w:rFonts w:ascii="Times New Roman" w:cs="Times New Roman" w:eastAsia="Times New Roman" w:hAnsi="Times New Roman"/>
          <w:sz w:val="24"/>
          <w:szCs w:val="24"/>
          <w:rtl w:val="0"/>
        </w:rPr>
        <w:t xml:space="preserve">“Art 10 </w:t>
      </w:r>
      <w:r w:rsidDel="00000000" w:rsidR="00000000" w:rsidRPr="00000000">
        <w:rPr>
          <w:rFonts w:ascii="Times New Roman" w:cs="Times New Roman" w:eastAsia="Times New Roman" w:hAnsi="Times New Roman"/>
          <w:sz w:val="24"/>
          <w:szCs w:val="24"/>
          <w:rtl w:val="0"/>
        </w:rPr>
        <w:t xml:space="preserve">A evolução funcional do servidor será baseada no tempo de serviço efetivamente exercido na Guarda Civil Municipal de Niterói.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6">
      <w:pPr>
        <w:spacing w:after="240" w:before="240" w:line="360" w:lineRule="auto"/>
        <w:ind w:firstLine="280"/>
        <w:jc w:val="both"/>
        <w:rPr>
          <w:sz w:val="24"/>
          <w:szCs w:val="24"/>
        </w:rPr>
      </w:pPr>
      <w:r w:rsidDel="00000000" w:rsidR="00000000" w:rsidRPr="00000000">
        <w:rPr>
          <w:sz w:val="24"/>
          <w:szCs w:val="24"/>
          <w:rtl w:val="0"/>
        </w:rPr>
        <w:t xml:space="preserve">A alteração do Art 10 visa definir com clareza os cargos, promoções e tempo de serviço</w:t>
      </w:r>
    </w:p>
    <w:p w:rsidR="00000000" w:rsidDel="00000000" w:rsidP="00000000" w:rsidRDefault="00000000" w:rsidRPr="00000000" w14:paraId="00000027">
      <w:pPr>
        <w:spacing w:after="240" w:before="240" w:line="360" w:lineRule="auto"/>
        <w:ind w:firstLine="280"/>
        <w:jc w:val="both"/>
        <w:rPr>
          <w:sz w:val="24"/>
          <w:szCs w:val="24"/>
        </w:rPr>
      </w:pPr>
      <w:r w:rsidDel="00000000" w:rsidR="00000000" w:rsidRPr="00000000">
        <w:rPr>
          <w:sz w:val="24"/>
          <w:szCs w:val="24"/>
          <w:rtl w:val="0"/>
        </w:rPr>
        <w:t xml:space="preserve">Atendendo a justa demanda da categoria solicitamos a alteração do Art 10º da lei 3077/2014.</w:t>
      </w:r>
    </w:p>
    <w:p w:rsidR="00000000" w:rsidDel="00000000" w:rsidP="00000000" w:rsidRDefault="00000000" w:rsidRPr="00000000" w14:paraId="00000028">
      <w:pPr>
        <w:spacing w:line="360" w:lineRule="auto"/>
        <w:ind w:firstLine="720"/>
        <w:jc w:val="both"/>
        <w:rPr/>
      </w:pPr>
      <w:r w:rsidDel="00000000" w:rsidR="00000000" w:rsidRPr="00000000">
        <w:rPr>
          <w:sz w:val="24"/>
          <w:szCs w:val="24"/>
          <w:rtl w:val="0"/>
        </w:rPr>
        <w:t xml:space="preserve">Desde já contamos com o apoio dessa egrégia Casa legislativa.</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tabs>
        <w:tab w:val="center" w:pos="4252"/>
        <w:tab w:val="right" w:pos="8504"/>
      </w:tabs>
      <w:spacing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Avenida Ernani do Amaral Peixoto, 625, gabinete 87 – Centro, Niterói/RJ</w:t>
    </w:r>
  </w:p>
  <w:p w:rsidR="00000000" w:rsidDel="00000000" w:rsidP="00000000" w:rsidRDefault="00000000" w:rsidRPr="00000000" w14:paraId="0000002F">
    <w:pPr>
      <w:tabs>
        <w:tab w:val="center" w:pos="4252"/>
        <w:tab w:val="right" w:pos="8504"/>
      </w:tabs>
      <w:spacing w:line="240" w:lineRule="auto"/>
      <w:jc w:val="center"/>
      <w:rPr>
        <w:rFonts w:ascii="Helvetica Neue" w:cs="Helvetica Neue" w:eastAsia="Helvetica Neue" w:hAnsi="Helvetica Neue"/>
        <w:sz w:val="24"/>
        <w:szCs w:val="24"/>
      </w:rPr>
    </w:pPr>
    <w:hyperlink r:id="rId1">
      <w:r w:rsidDel="00000000" w:rsidR="00000000" w:rsidRPr="00000000">
        <w:rPr>
          <w:rFonts w:ascii="Helvetica Neue" w:cs="Helvetica Neue" w:eastAsia="Helvetica Neue" w:hAnsi="Helvetica Neue"/>
          <w:color w:val="0000ff"/>
          <w:sz w:val="24"/>
          <w:szCs w:val="24"/>
          <w:u w:val="single"/>
          <w:rtl w:val="0"/>
        </w:rPr>
        <w:t xml:space="preserve">gabineteleogiordano@gmail.com</w:t>
      </w:r>
    </w:hyperlink>
    <w:r w:rsidDel="00000000" w:rsidR="00000000" w:rsidRPr="00000000">
      <w:rPr>
        <w:rFonts w:ascii="Helvetica Neue" w:cs="Helvetica Neue" w:eastAsia="Helvetica Neue" w:hAnsi="Helvetica Neue"/>
        <w:sz w:val="24"/>
        <w:szCs w:val="24"/>
        <w:rtl w:val="0"/>
      </w:rPr>
      <w:t xml:space="preserve"> - </w:t>
    </w:r>
    <w:hyperlink r:id="rId2">
      <w:r w:rsidDel="00000000" w:rsidR="00000000" w:rsidRPr="00000000">
        <w:rPr>
          <w:rFonts w:ascii="Helvetica Neue" w:cs="Helvetica Neue" w:eastAsia="Helvetica Neue" w:hAnsi="Helvetica Neue"/>
          <w:color w:val="0000ff"/>
          <w:sz w:val="24"/>
          <w:szCs w:val="24"/>
          <w:u w:val="single"/>
          <w:rtl w:val="0"/>
        </w:rPr>
        <w:t xml:space="preserve">www.leonardogiordano.com.br</w:t>
      </w:r>
    </w:hyperlink>
    <w:r w:rsidDel="00000000" w:rsidR="00000000" w:rsidRPr="00000000">
      <w:rPr>
        <w:rtl w:val="0"/>
      </w:rPr>
    </w:r>
  </w:p>
  <w:p w:rsidR="00000000" w:rsidDel="00000000" w:rsidP="00000000" w:rsidRDefault="00000000" w:rsidRPr="00000000" w14:paraId="00000030">
    <w:pPr>
      <w:tabs>
        <w:tab w:val="center" w:pos="4252"/>
        <w:tab w:val="right" w:pos="8504"/>
      </w:tabs>
      <w:spacing w:line="240" w:lineRule="auto"/>
      <w:jc w:val="center"/>
      <w:rPr/>
    </w:pPr>
    <w:r w:rsidDel="00000000" w:rsidR="00000000" w:rsidRPr="00000000">
      <w:rPr>
        <w:rFonts w:ascii="Helvetica Neue" w:cs="Helvetica Neue" w:eastAsia="Helvetica Neue" w:hAnsi="Helvetica Neue"/>
        <w:sz w:val="24"/>
        <w:szCs w:val="24"/>
        <w:rtl w:val="0"/>
      </w:rPr>
      <w:t xml:space="preserve">(21) 3716.8600 - Ramal 205</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tabs>
        <w:tab w:val="center" w:pos="4252"/>
        <w:tab w:val="right" w:pos="8504"/>
      </w:tabs>
      <w:spacing w:line="240" w:lineRule="auto"/>
      <w:jc w:val="center"/>
      <w:rPr>
        <w:rFonts w:ascii="Calibri" w:cs="Calibri" w:eastAsia="Calibri" w:hAnsi="Calibri"/>
      </w:rPr>
    </w:pPr>
    <w:r w:rsidDel="00000000" w:rsidR="00000000" w:rsidRPr="00000000">
      <w:rPr>
        <w:rFonts w:ascii="Calibri" w:cs="Calibri" w:eastAsia="Calibri" w:hAnsi="Calibri"/>
      </w:rPr>
      <w:drawing>
        <wp:inline distB="0" distT="0" distL="0" distR="0">
          <wp:extent cx="883852" cy="1096122"/>
          <wp:effectExtent b="0" l="0" r="0" t="0"/>
          <wp:docPr descr="imagem29a0a110a7a16a15a6.jpg" id="1" name="image1.jpg"/>
          <a:graphic>
            <a:graphicData uri="http://schemas.openxmlformats.org/drawingml/2006/picture">
              <pic:pic>
                <pic:nvPicPr>
                  <pic:cNvPr descr="imagem29a0a110a7a16a15a6.jpg" id="0" name="image1.jpg"/>
                  <pic:cNvPicPr preferRelativeResize="0"/>
                </pic:nvPicPr>
                <pic:blipFill>
                  <a:blip r:embed="rId1"/>
                  <a:srcRect b="0" l="0" r="0" t="0"/>
                  <a:stretch>
                    <a:fillRect/>
                  </a:stretch>
                </pic:blipFill>
                <pic:spPr>
                  <a:xfrm>
                    <a:off x="0" y="0"/>
                    <a:ext cx="883852" cy="1096122"/>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tabs>
        <w:tab w:val="center" w:pos="4252"/>
        <w:tab w:val="right" w:pos="8504"/>
      </w:tabs>
      <w:spacing w:line="240" w:lineRule="auto"/>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Câmara Municipal de Niterói</w:t>
    </w:r>
  </w:p>
  <w:p w:rsidR="00000000" w:rsidDel="00000000" w:rsidP="00000000" w:rsidRDefault="00000000" w:rsidRPr="00000000" w14:paraId="0000002D">
    <w:pPr>
      <w:tabs>
        <w:tab w:val="center" w:pos="4252"/>
        <w:tab w:val="right" w:pos="8504"/>
      </w:tabs>
      <w:spacing w:line="240" w:lineRule="auto"/>
      <w:jc w:val="center"/>
      <w:rPr/>
    </w:pPr>
    <w:r w:rsidDel="00000000" w:rsidR="00000000" w:rsidRPr="00000000">
      <w:rPr>
        <w:rFonts w:ascii="Helvetica Neue" w:cs="Helvetica Neue" w:eastAsia="Helvetica Neue" w:hAnsi="Helvetica Neue"/>
        <w:sz w:val="28"/>
        <w:szCs w:val="28"/>
        <w:rtl w:val="0"/>
      </w:rPr>
      <w:t xml:space="preserve">Gabinete do Vereador Leonardo Giordano – PCdoB</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gabineteleogiordano@gmail.com" TargetMode="External"/><Relationship Id="rId2" Type="http://schemas.openxmlformats.org/officeDocument/2006/relationships/hyperlink" Target="http://www.leonardogiordano.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