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line="211.76470588235293" w:lineRule="auto"/>
        <w:jc w:val="center"/>
        <w:rPr/>
      </w:pPr>
      <w:bookmarkStart w:colFirst="0" w:colLast="0" w:name="_y2ahyhhd5spc" w:id="0"/>
      <w:bookmarkEnd w:id="0"/>
      <w:r w:rsidDel="00000000" w:rsidR="00000000" w:rsidRPr="00000000">
        <w:rPr>
          <w:rFonts w:ascii="Times New Roman" w:cs="Times New Roman" w:eastAsia="Times New Roman" w:hAnsi="Times New Roman"/>
          <w:b w:val="1"/>
          <w:sz w:val="24"/>
          <w:szCs w:val="24"/>
          <w:rtl w:val="0"/>
        </w:rPr>
        <w:t xml:space="preserve">Projeto de Lei N°    /2020</w:t>
      </w:r>
      <w:r w:rsidDel="00000000" w:rsidR="00000000" w:rsidRPr="00000000">
        <w:rPr>
          <w:rtl w:val="0"/>
        </w:rPr>
      </w:r>
    </w:p>
    <w:p w:rsidR="00000000" w:rsidDel="00000000" w:rsidP="00000000" w:rsidRDefault="00000000" w:rsidRPr="00000000" w14:paraId="00000002">
      <w:pPr>
        <w:ind w:left="5040" w:firstLine="0"/>
        <w:jc w:val="both"/>
        <w:rPr>
          <w:b w:val="1"/>
        </w:rPr>
      </w:pPr>
      <w:r w:rsidDel="00000000" w:rsidR="00000000" w:rsidRPr="00000000">
        <w:rPr>
          <w:b w:val="1"/>
          <w:rtl w:val="0"/>
        </w:rPr>
        <w:t xml:space="preserve">Estabelece a obrigatoriedade da implantação de logística reversa no Município de Niterói para recolhimento dos produtos que especifica e dá outras providências.</w:t>
      </w:r>
    </w:p>
    <w:p w:rsidR="00000000" w:rsidDel="00000000" w:rsidP="00000000" w:rsidRDefault="00000000" w:rsidRPr="00000000" w14:paraId="00000003">
      <w:pPr>
        <w:ind w:left="5040" w:firstLine="0"/>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Art. 1º Esta Lei articula-se com a Lei Federal nº 12.305, de 2 de agosto de 2010, que dispõe sobre a Política Nacional de Resíduos Sólidos. </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Art. 2º São obrigados a estruturar e implementar sistemas de logística reversa os fabricantes, importadores, distribuidores e comerciantes dos seguintes produtos e embalagens comercializados no Município de Niterói: </w:t>
      </w:r>
    </w:p>
    <w:p w:rsidR="00000000" w:rsidDel="00000000" w:rsidP="00000000" w:rsidRDefault="00000000" w:rsidRPr="00000000" w14:paraId="00000008">
      <w:pPr>
        <w:spacing w:line="360" w:lineRule="auto"/>
        <w:jc w:val="both"/>
        <w:rPr/>
      </w:pPr>
      <w:r w:rsidDel="00000000" w:rsidR="00000000" w:rsidRPr="00000000">
        <w:rPr>
          <w:rtl w:val="0"/>
        </w:rPr>
        <w:t xml:space="preserve">I - óleo lubrificante usado e contaminado, e seus resíduos; </w:t>
      </w:r>
    </w:p>
    <w:p w:rsidR="00000000" w:rsidDel="00000000" w:rsidP="00000000" w:rsidRDefault="00000000" w:rsidRPr="00000000" w14:paraId="00000009">
      <w:pPr>
        <w:spacing w:line="360" w:lineRule="auto"/>
        <w:jc w:val="both"/>
        <w:rPr/>
      </w:pPr>
      <w:r w:rsidDel="00000000" w:rsidR="00000000" w:rsidRPr="00000000">
        <w:rPr>
          <w:rtl w:val="0"/>
        </w:rPr>
        <w:t xml:space="preserve">II - baterias chumbo-ácido; </w:t>
      </w:r>
    </w:p>
    <w:p w:rsidR="00000000" w:rsidDel="00000000" w:rsidP="00000000" w:rsidRDefault="00000000" w:rsidRPr="00000000" w14:paraId="0000000A">
      <w:pPr>
        <w:spacing w:line="360" w:lineRule="auto"/>
        <w:jc w:val="both"/>
        <w:rPr/>
      </w:pPr>
      <w:r w:rsidDel="00000000" w:rsidR="00000000" w:rsidRPr="00000000">
        <w:rPr>
          <w:rtl w:val="0"/>
        </w:rPr>
        <w:t xml:space="preserve">III - pilhas e baterias portáteis; </w:t>
      </w:r>
    </w:p>
    <w:p w:rsidR="00000000" w:rsidDel="00000000" w:rsidP="00000000" w:rsidRDefault="00000000" w:rsidRPr="00000000" w14:paraId="0000000B">
      <w:pPr>
        <w:spacing w:line="360" w:lineRule="auto"/>
        <w:jc w:val="both"/>
        <w:rPr/>
      </w:pPr>
      <w:r w:rsidDel="00000000" w:rsidR="00000000" w:rsidRPr="00000000">
        <w:rPr>
          <w:rtl w:val="0"/>
        </w:rPr>
        <w:t xml:space="preserve">IV - produtos eletroeletrônicos e seus componentes; </w:t>
      </w:r>
    </w:p>
    <w:p w:rsidR="00000000" w:rsidDel="00000000" w:rsidP="00000000" w:rsidRDefault="00000000" w:rsidRPr="00000000" w14:paraId="0000000C">
      <w:pPr>
        <w:spacing w:line="360" w:lineRule="auto"/>
        <w:jc w:val="both"/>
        <w:rPr/>
      </w:pPr>
      <w:r w:rsidDel="00000000" w:rsidR="00000000" w:rsidRPr="00000000">
        <w:rPr>
          <w:rtl w:val="0"/>
        </w:rPr>
        <w:t xml:space="preserve">V - lâmpadas fluorescentes, de vapor de sódio e mercúrio e de luz mista, bem como os diodos emissores de luz (LED – light- -emitting diode) e assemelhadas; </w:t>
      </w:r>
    </w:p>
    <w:p w:rsidR="00000000" w:rsidDel="00000000" w:rsidP="00000000" w:rsidRDefault="00000000" w:rsidRPr="00000000" w14:paraId="0000000D">
      <w:pPr>
        <w:spacing w:line="360" w:lineRule="auto"/>
        <w:jc w:val="both"/>
        <w:rPr/>
      </w:pPr>
      <w:r w:rsidDel="00000000" w:rsidR="00000000" w:rsidRPr="00000000">
        <w:rPr>
          <w:rtl w:val="0"/>
        </w:rPr>
        <w:t xml:space="preserve">VI - pneus inservíveis, ainda que fracionados por quaisquer métodos; </w:t>
      </w:r>
    </w:p>
    <w:p w:rsidR="00000000" w:rsidDel="00000000" w:rsidP="00000000" w:rsidRDefault="00000000" w:rsidRPr="00000000" w14:paraId="0000000E">
      <w:pPr>
        <w:spacing w:line="360" w:lineRule="auto"/>
        <w:jc w:val="both"/>
        <w:rPr/>
      </w:pPr>
      <w:r w:rsidDel="00000000" w:rsidR="00000000" w:rsidRPr="00000000">
        <w:rPr>
          <w:rtl w:val="0"/>
        </w:rPr>
        <w:t xml:space="preserve">VII - embalagens de produtos que após o uso pelo consumidor, independentemente de sua origem, sejam compostas por plástico, metal, vidro, aço, papel, papelão ou embalagens mistas, cartonadas, laminadas ou multicamada, tais como as de: a) alimentos; </w:t>
      </w:r>
    </w:p>
    <w:p w:rsidR="00000000" w:rsidDel="00000000" w:rsidP="00000000" w:rsidRDefault="00000000" w:rsidRPr="00000000" w14:paraId="0000000F">
      <w:pPr>
        <w:spacing w:line="360" w:lineRule="auto"/>
        <w:jc w:val="both"/>
        <w:rPr/>
      </w:pPr>
      <w:r w:rsidDel="00000000" w:rsidR="00000000" w:rsidRPr="00000000">
        <w:rPr>
          <w:rtl w:val="0"/>
        </w:rPr>
        <w:t xml:space="preserve">b) bebidas; </w:t>
      </w:r>
    </w:p>
    <w:p w:rsidR="00000000" w:rsidDel="00000000" w:rsidP="00000000" w:rsidRDefault="00000000" w:rsidRPr="00000000" w14:paraId="00000010">
      <w:pPr>
        <w:spacing w:line="360" w:lineRule="auto"/>
        <w:jc w:val="both"/>
        <w:rPr/>
      </w:pPr>
      <w:r w:rsidDel="00000000" w:rsidR="00000000" w:rsidRPr="00000000">
        <w:rPr>
          <w:rtl w:val="0"/>
        </w:rPr>
        <w:t xml:space="preserve">c) produtos de higiene pessoal, perfumaria e cosméticos; </w:t>
      </w:r>
    </w:p>
    <w:p w:rsidR="00000000" w:rsidDel="00000000" w:rsidP="00000000" w:rsidRDefault="00000000" w:rsidRPr="00000000" w14:paraId="00000011">
      <w:pPr>
        <w:spacing w:line="360" w:lineRule="auto"/>
        <w:jc w:val="both"/>
        <w:rPr/>
      </w:pPr>
      <w:r w:rsidDel="00000000" w:rsidR="00000000" w:rsidRPr="00000000">
        <w:rPr>
          <w:rtl w:val="0"/>
        </w:rPr>
        <w:t xml:space="preserve">d) produtos de limpeza e afins; </w:t>
      </w:r>
    </w:p>
    <w:p w:rsidR="00000000" w:rsidDel="00000000" w:rsidP="00000000" w:rsidRDefault="00000000" w:rsidRPr="00000000" w14:paraId="00000012">
      <w:pPr>
        <w:spacing w:line="360" w:lineRule="auto"/>
        <w:jc w:val="both"/>
        <w:rPr/>
      </w:pPr>
      <w:r w:rsidDel="00000000" w:rsidR="00000000" w:rsidRPr="00000000">
        <w:rPr>
          <w:rtl w:val="0"/>
        </w:rPr>
        <w:t xml:space="preserve">VIII - outros utensílios e bens de consumo, a critério do órgão municipal competente, ou da </w:t>
      </w:r>
      <w:r w:rsidDel="00000000" w:rsidR="00000000" w:rsidRPr="00000000">
        <w:rPr>
          <w:rtl w:val="0"/>
        </w:rPr>
        <w:t xml:space="preserve">Secretaria de Meio Ambiente</w:t>
      </w:r>
      <w:r w:rsidDel="00000000" w:rsidR="00000000" w:rsidRPr="00000000">
        <w:rPr>
          <w:rtl w:val="0"/>
        </w:rPr>
        <w:t xml:space="preserve">; </w:t>
      </w:r>
    </w:p>
    <w:p w:rsidR="00000000" w:rsidDel="00000000" w:rsidP="00000000" w:rsidRDefault="00000000" w:rsidRPr="00000000" w14:paraId="00000013">
      <w:pPr>
        <w:spacing w:line="360" w:lineRule="auto"/>
        <w:jc w:val="both"/>
        <w:rPr/>
      </w:pPr>
      <w:r w:rsidDel="00000000" w:rsidR="00000000" w:rsidRPr="00000000">
        <w:rPr>
          <w:rtl w:val="0"/>
        </w:rPr>
        <w:t xml:space="preserve">IX - agrotóxicos, seus resíduos e embalagens, assim como outros produtos cuja embalagem, após o uso, constitua resíduo perigoso, observadas as regras de gerenciamento de resíduos perigosos previstas em lei ou regulamento, em normas estabelecidas pelos órgãos do </w:t>
      </w:r>
      <w:r w:rsidDel="00000000" w:rsidR="00000000" w:rsidRPr="00000000">
        <w:rPr>
          <w:rtl w:val="0"/>
        </w:rPr>
        <w:t xml:space="preserve">SISNAMA, do SNVS e do SUASA</w:t>
      </w:r>
      <w:r w:rsidDel="00000000" w:rsidR="00000000" w:rsidRPr="00000000">
        <w:rPr>
          <w:rtl w:val="0"/>
        </w:rPr>
        <w:t xml:space="preserve">, ou em normas técnicas; </w:t>
      </w:r>
    </w:p>
    <w:p w:rsidR="00000000" w:rsidDel="00000000" w:rsidP="00000000" w:rsidRDefault="00000000" w:rsidRPr="00000000" w14:paraId="00000014">
      <w:pPr>
        <w:spacing w:line="360" w:lineRule="auto"/>
        <w:jc w:val="both"/>
        <w:rPr/>
      </w:pPr>
      <w:r w:rsidDel="00000000" w:rsidR="00000000" w:rsidRPr="00000000">
        <w:rPr>
          <w:rtl w:val="0"/>
        </w:rPr>
        <w:t xml:space="preserve">X - embalagem usada de óleo lubrificante; </w:t>
      </w:r>
    </w:p>
    <w:p w:rsidR="00000000" w:rsidDel="00000000" w:rsidP="00000000" w:rsidRDefault="00000000" w:rsidRPr="00000000" w14:paraId="00000015">
      <w:pPr>
        <w:spacing w:line="360" w:lineRule="auto"/>
        <w:jc w:val="both"/>
        <w:rPr/>
      </w:pPr>
      <w:r w:rsidDel="00000000" w:rsidR="00000000" w:rsidRPr="00000000">
        <w:rPr>
          <w:rtl w:val="0"/>
        </w:rPr>
        <w:t xml:space="preserve">XI - óleo comestível; </w:t>
      </w:r>
    </w:p>
    <w:p w:rsidR="00000000" w:rsidDel="00000000" w:rsidP="00000000" w:rsidRDefault="00000000" w:rsidRPr="00000000" w14:paraId="00000016">
      <w:pPr>
        <w:spacing w:line="360" w:lineRule="auto"/>
        <w:jc w:val="both"/>
        <w:rPr/>
      </w:pPr>
      <w:r w:rsidDel="00000000" w:rsidR="00000000" w:rsidRPr="00000000">
        <w:rPr>
          <w:rtl w:val="0"/>
        </w:rPr>
        <w:t xml:space="preserve">XII - medicamentos domiciliares vencidos ou em desuso e suas embalagens; </w:t>
      </w:r>
    </w:p>
    <w:p w:rsidR="00000000" w:rsidDel="00000000" w:rsidP="00000000" w:rsidRDefault="00000000" w:rsidRPr="00000000" w14:paraId="00000017">
      <w:pPr>
        <w:spacing w:line="360" w:lineRule="auto"/>
        <w:jc w:val="both"/>
        <w:rPr/>
      </w:pPr>
      <w:r w:rsidDel="00000000" w:rsidR="00000000" w:rsidRPr="00000000">
        <w:rPr>
          <w:rtl w:val="0"/>
        </w:rPr>
        <w:t xml:space="preserve">XIII - filtros automotivos. </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t xml:space="preserve">§ 1º Para o cumprimento do disposto no caput deste artigo, os fabricantes, importadores, distribuidores e comerciantes, individualmente ou por meio de entidade representativa do setor contemplando conjuntos de empresas, ou por pessoa jurídica sem fins econômicos criada com o objetivo de gerenciar o respectivo sistema, aos quais caberá a interlocução com o Poder Executivo, ficam responsáveis pela implementação e operacionalização da logística reversa no limite da proporção dos produtos que colocarem no mercado do Município de Niterói, conforme metas progressivas, intermediárias e finais, estabelecidas em acordos setoriais ou termos de compromisso, respeitada, no mínimo, a recuperação: </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t xml:space="preserve">I – até dezembro de 2024, de 35% do volume, em massa, das embalagens colocado no mercado no ano de 2023. </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Art. 3º Na implementação e operacionalização de sistemas de logística reversa poderão ser adotadas soluções integradas que contemplem desde procedimentos de compra de produtos ou embalagens usadas, sistemas de reciclagem, atuação em parceria com cooperativas ou outras formas de associação de catadores, bem como postos de entrega voluntária de resíduos reutilizáveis e recicláveis, mediante comprovação por intermédio de Certificados de Reciclagem, de destinação ou similares. </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 xml:space="preserve">§ 1º Os responsáveis pelos sistemas de logística reversa deverão também promover campanhas educativas e de conscientização pública, bem como dos benefícios da devolução dos produtos e embalagens para reciclagem. </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 2º Para os fins desta Lei, considera-se como fabricante o comerciante que, de qualquer forma, comercializar produtos de marca(s) própria(s) ou exclusiva(s), independentemente da origem, processamento ou fabricação destes. </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t xml:space="preserve">Art. 4º Para viabilizar todas as etapas dos sistemas de logística reversa, no âmbito das responsabilidades compartilhadas: </w:t>
      </w:r>
    </w:p>
    <w:p w:rsidR="00000000" w:rsidDel="00000000" w:rsidP="00000000" w:rsidRDefault="00000000" w:rsidRPr="00000000" w14:paraId="00000024">
      <w:pPr>
        <w:spacing w:line="360" w:lineRule="auto"/>
        <w:jc w:val="both"/>
        <w:rPr/>
      </w:pPr>
      <w:r w:rsidDel="00000000" w:rsidR="00000000" w:rsidRPr="00000000">
        <w:rPr>
          <w:rtl w:val="0"/>
        </w:rPr>
        <w:t xml:space="preserve">I - os consumidores deverão efetuar a devolução após o uso, aos comerciantes ou distribuidores, dos produtos e das embalagens a que se referem os incisos I a XIII do art. 2º; II - os comerciantes e distribuidores deverão efetuar a devolução aos fabricantes ou aos importadores dos produtos e embalagens reunidos ou devolvidos pelos consumidores; </w:t>
      </w:r>
    </w:p>
    <w:p w:rsidR="00000000" w:rsidDel="00000000" w:rsidP="00000000" w:rsidRDefault="00000000" w:rsidRPr="00000000" w14:paraId="00000025">
      <w:pPr>
        <w:spacing w:line="360" w:lineRule="auto"/>
        <w:jc w:val="both"/>
        <w:rPr/>
      </w:pPr>
      <w:r w:rsidDel="00000000" w:rsidR="00000000" w:rsidRPr="00000000">
        <w:rPr>
          <w:rtl w:val="0"/>
        </w:rPr>
        <w:t xml:space="preserve">III - os fabricantes e os importadores darão destinação ambientalmente adequada aos produtos e às embalagens usadas reunidas ou devolvidas pelos comerciantes ou distribuidores, sendo o rejeito encaminhado para a disposição final ambientalmente adequada, na forma estabelecida pelo órgão competente do </w:t>
      </w:r>
      <w:r w:rsidDel="00000000" w:rsidR="00000000" w:rsidRPr="00000000">
        <w:rPr>
          <w:rtl w:val="0"/>
        </w:rPr>
        <w:t xml:space="preserve">SISNAMA e/ou pela CLIN</w:t>
      </w:r>
      <w:r w:rsidDel="00000000" w:rsidR="00000000" w:rsidRPr="00000000">
        <w:rPr>
          <w:rtl w:val="0"/>
        </w:rPr>
        <w:t xml:space="preserve">. Parágrafo único. Se o titular do serviço público de limpeza urbana e de manejo de resíduos sólidos encarregar-se de atividades de responsabilidade dos fabricantes, importadores, distribuidores e comerciantes nos sistemas de logística reversa dos produtos e embalagens a que se refere esta Lei, as ações do poder público deverão ser devidamente remuneradas.</w:t>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t xml:space="preserve">Art. 5º Os sistemas de logística reversa que forem objeto de acordo setorial ou de termos de compromisso firmados em âmbito nacional, regional ou estadual, entre o Poder Público e os fabricantes, importadores, distribuidores ou comerciantes deverão ser considerados para fins de atendimento desta Lei, desde que comprovadamente estiverem realizando ações no âmbito municipal, e que atendam às regras e metas previstas na legislação municipal de regência. Parágrafo único. Os participantes dos sistemas de logística reversa manterão atualizadas e disponíveis ao órgão municipal competente e a outras autoridades informações completas, com balanço anual, sobre a realização das ações sob sua responsabilidade. </w:t>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t xml:space="preserve">Art. 6º As despesas decorrentes da execução desta Lei correrão por conta das dotações orçamentárias próprias. </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Art. 7º Esta Lei entra em vigor após 90 (noventa) dias da data de sua publicação, revogadas todas as disposições contrárias.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Leonardo Giordano</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Vereador</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Justificativa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presente propositura tem por finalidade o cumprimento do instrumento da logística reversa, introduzido pela Política Nacional de Resíduos Sólidos (PNRS) - Lei nº 12.305/2010, e seu regulamento, Decreto Nº 7.404/2010. A geração excessiva de resíduos grandes problemas na cidade e uma grande parcela desses resíduos é constituída por matérias-primas que poderiam estar sendo reinseridas no processo produtivo, como é o caso dos materiais recicláveis. A referida lei introduz a logística reversa como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O sistema de logística reversa se tornou obrigatório para as seguintes cadeias produtivas: agrotóxicos; seus resíduos e embalagens, pilhas e baterias; pneus; óleos lubrificantes, seus resíduos e embalagens; lâmpadas fluorescentes, de vapor de sódio, mercúrio e de luz mista; produtos eletroeletrônicos e seus componentes, e produtos comercializados em embalagens plásticas, metálicas ou de vidro. </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projeto de Lei pretende efetivar a logística reversa no município, de baixo pra cima, em consonância com as políticas federais e estaduais.</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Desde já contamos com o apoio dessa egrégia Casa legislativa.</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252"/>
        <w:tab w:val="right" w:pos="8504"/>
      </w:tabs>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Avenida Ernani do Amaral Peixoto, 625, gabinete 87 – Centro, Niterói/RJ</w:t>
    </w:r>
  </w:p>
  <w:p w:rsidR="00000000" w:rsidDel="00000000" w:rsidP="00000000" w:rsidRDefault="00000000" w:rsidRPr="00000000" w14:paraId="0000003C">
    <w:pPr>
      <w:tabs>
        <w:tab w:val="center" w:pos="4252"/>
        <w:tab w:val="right" w:pos="8504"/>
      </w:tabs>
      <w:spacing w:line="240" w:lineRule="auto"/>
      <w:jc w:val="center"/>
      <w:rPr>
        <w:rFonts w:ascii="Helvetica Neue" w:cs="Helvetica Neue" w:eastAsia="Helvetica Neue" w:hAnsi="Helvetica Neue"/>
        <w:sz w:val="24"/>
        <w:szCs w:val="24"/>
      </w:rPr>
    </w:pPr>
    <w:hyperlink r:id="rId1">
      <w:r w:rsidDel="00000000" w:rsidR="00000000" w:rsidRPr="00000000">
        <w:rPr>
          <w:rFonts w:ascii="Helvetica Neue" w:cs="Helvetica Neue" w:eastAsia="Helvetica Neue" w:hAnsi="Helvetica Neue"/>
          <w:color w:val="0000ff"/>
          <w:sz w:val="24"/>
          <w:szCs w:val="24"/>
          <w:u w:val="single"/>
          <w:rtl w:val="0"/>
        </w:rPr>
        <w:t xml:space="preserve">gabineteleogiordano@gmail.com</w:t>
      </w:r>
    </w:hyperlink>
    <w:r w:rsidDel="00000000" w:rsidR="00000000" w:rsidRPr="00000000">
      <w:rPr>
        <w:rFonts w:ascii="Helvetica Neue" w:cs="Helvetica Neue" w:eastAsia="Helvetica Neue" w:hAnsi="Helvetica Neue"/>
        <w:sz w:val="24"/>
        <w:szCs w:val="24"/>
        <w:rtl w:val="0"/>
      </w:rPr>
      <w:t xml:space="preserve"> - </w:t>
    </w:r>
    <w:hyperlink r:id="rId2">
      <w:r w:rsidDel="00000000" w:rsidR="00000000" w:rsidRPr="00000000">
        <w:rPr>
          <w:rFonts w:ascii="Helvetica Neue" w:cs="Helvetica Neue" w:eastAsia="Helvetica Neue" w:hAnsi="Helvetica Neue"/>
          <w:color w:val="0000ff"/>
          <w:sz w:val="24"/>
          <w:szCs w:val="24"/>
          <w:u w:val="single"/>
          <w:rtl w:val="0"/>
        </w:rPr>
        <w:t xml:space="preserve">www.leonardogiordano.com.br</w:t>
      </w:r>
    </w:hyperlink>
    <w:r w:rsidDel="00000000" w:rsidR="00000000" w:rsidRPr="00000000">
      <w:rPr>
        <w:rtl w:val="0"/>
      </w:rPr>
    </w:r>
  </w:p>
  <w:p w:rsidR="00000000" w:rsidDel="00000000" w:rsidP="00000000" w:rsidRDefault="00000000" w:rsidRPr="00000000" w14:paraId="0000003D">
    <w:pPr>
      <w:tabs>
        <w:tab w:val="center" w:pos="4252"/>
        <w:tab w:val="right" w:pos="8504"/>
      </w:tabs>
      <w:spacing w:line="240" w:lineRule="auto"/>
      <w:jc w:val="center"/>
      <w:rPr/>
    </w:pPr>
    <w:r w:rsidDel="00000000" w:rsidR="00000000" w:rsidRPr="00000000">
      <w:rPr>
        <w:rFonts w:ascii="Helvetica Neue" w:cs="Helvetica Neue" w:eastAsia="Helvetica Neue" w:hAnsi="Helvetica Neue"/>
        <w:sz w:val="24"/>
        <w:szCs w:val="24"/>
        <w:rtl w:val="0"/>
      </w:rPr>
      <w:t xml:space="preserve">(21) 3716.8600 - Ramal 205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252"/>
        <w:tab w:val="right" w:pos="8504"/>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883852" cy="1096122"/>
          <wp:effectExtent b="0" l="0" r="0" t="0"/>
          <wp:docPr descr="imagem29a0a110a7a16a15a6.jpg" id="1" name="image1.jpg"/>
          <a:graphic>
            <a:graphicData uri="http://schemas.openxmlformats.org/drawingml/2006/picture">
              <pic:pic>
                <pic:nvPicPr>
                  <pic:cNvPr descr="imagem29a0a110a7a16a15a6.jpg" id="0" name="image1.jpg"/>
                  <pic:cNvPicPr preferRelativeResize="0"/>
                </pic:nvPicPr>
                <pic:blipFill>
                  <a:blip r:embed="rId1"/>
                  <a:srcRect b="0" l="0" r="0" t="0"/>
                  <a:stretch>
                    <a:fillRect/>
                  </a:stretch>
                </pic:blipFill>
                <pic:spPr>
                  <a:xfrm>
                    <a:off x="0" y="0"/>
                    <a:ext cx="883852" cy="1096122"/>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tabs>
        <w:tab w:val="center" w:pos="4252"/>
        <w:tab w:val="right" w:pos="8504"/>
      </w:tabs>
      <w:spacing w:line="24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Câmara Municipal de Niterói</w:t>
    </w:r>
  </w:p>
  <w:p w:rsidR="00000000" w:rsidDel="00000000" w:rsidP="00000000" w:rsidRDefault="00000000" w:rsidRPr="00000000" w14:paraId="0000003A">
    <w:pPr>
      <w:tabs>
        <w:tab w:val="center" w:pos="4252"/>
        <w:tab w:val="right" w:pos="8504"/>
      </w:tabs>
      <w:spacing w:line="240" w:lineRule="auto"/>
      <w:jc w:val="center"/>
      <w:rPr/>
    </w:pPr>
    <w:r w:rsidDel="00000000" w:rsidR="00000000" w:rsidRPr="00000000">
      <w:rPr>
        <w:rFonts w:ascii="Helvetica Neue" w:cs="Helvetica Neue" w:eastAsia="Helvetica Neue" w:hAnsi="Helvetica Neue"/>
        <w:sz w:val="28"/>
        <w:szCs w:val="28"/>
        <w:rtl w:val="0"/>
      </w:rPr>
      <w:t xml:space="preserve">Gabinete do Vereador Leonardo Giordano – PCdoB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bineteleogiordano@gmail.com" TargetMode="External"/><Relationship Id="rId2" Type="http://schemas.openxmlformats.org/officeDocument/2006/relationships/hyperlink" Target="http://www.leonardogiordan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