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Moção de aplausos nº.   </w:t>
      </w:r>
      <w:r w:rsidR="00464391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6A112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F4171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81053">
        <w:rPr>
          <w:rFonts w:ascii="Tahoma" w:hAnsi="Tahoma" w:cs="Tahoma"/>
          <w:b/>
          <w:color w:val="000000" w:themeColor="text1"/>
          <w:sz w:val="22"/>
          <w:szCs w:val="22"/>
        </w:rPr>
        <w:t>Priscilla Djane Borges Marques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F4171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81053">
        <w:rPr>
          <w:rFonts w:ascii="Tahoma" w:hAnsi="Tahoma" w:cs="Tahoma"/>
          <w:color w:val="000000" w:themeColor="text1"/>
          <w:sz w:val="22"/>
          <w:szCs w:val="22"/>
        </w:rPr>
        <w:t>Priscilla Djane Borges Marques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7A6C4A">
        <w:rPr>
          <w:rFonts w:ascii="Tahoma" w:hAnsi="Tahoma" w:cs="Tahoma"/>
          <w:color w:val="000000" w:themeColor="text1"/>
          <w:sz w:val="22"/>
          <w:szCs w:val="22"/>
        </w:rPr>
        <w:t>26</w:t>
      </w:r>
      <w:r w:rsidR="00B64EF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A13A0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B817EE" w:rsidRPr="00B817EE" w:rsidRDefault="00D40DBA" w:rsidP="00B817EE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r w:rsidR="00981053">
        <w:rPr>
          <w:rFonts w:ascii="Tahoma" w:hAnsi="Tahoma" w:cs="Tahoma"/>
          <w:color w:val="000000" w:themeColor="text1"/>
          <w:sz w:val="22"/>
          <w:szCs w:val="22"/>
        </w:rPr>
        <w:t xml:space="preserve">Priscilla Djane Borges Marques </w:t>
      </w:r>
      <w:bookmarkEnd w:id="0"/>
      <w:r w:rsidR="00981053">
        <w:rPr>
          <w:rFonts w:ascii="Tahoma" w:hAnsi="Tahoma" w:cs="Tahoma"/>
          <w:color w:val="000000" w:themeColor="text1"/>
          <w:sz w:val="22"/>
          <w:szCs w:val="22"/>
        </w:rPr>
        <w:t>é Graduada em Matemática pela Universidade Federal Fluminense – UFF. Lecionou no Colégio Projeção, Colégio Kattenbach, Colégio Maia Marques, Centro Educacional de Niterói, Centro Educacional Alzira Bittencourt, na Rede Municipal de Ensino e na Rede Estadual de Ensino. Atuou como Coordenadora Geral do Colégio Educacional Alzira Bittencourt.</w:t>
      </w:r>
      <w:r w:rsidR="00BA19E4">
        <w:rPr>
          <w:rFonts w:ascii="Tahoma" w:hAnsi="Tahoma" w:cs="Tahoma"/>
          <w:color w:val="000000" w:themeColor="text1"/>
          <w:sz w:val="22"/>
          <w:szCs w:val="22"/>
        </w:rPr>
        <w:t xml:space="preserve"> Com mais de 24 anos de sala de aula, leciona até os dias de hoje. Nos dias atuais, é Proprietária e Gestora do Colégio Maia Marques.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73" w:rsidRDefault="00403473">
      <w:r>
        <w:separator/>
      </w:r>
    </w:p>
  </w:endnote>
  <w:endnote w:type="continuationSeparator" w:id="0">
    <w:p w:rsidR="00403473" w:rsidRDefault="0040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73" w:rsidRDefault="00403473">
      <w:r>
        <w:separator/>
      </w:r>
    </w:p>
  </w:footnote>
  <w:footnote w:type="continuationSeparator" w:id="0">
    <w:p w:rsidR="00403473" w:rsidRDefault="0040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076"/>
    <w:rsid w:val="00064B06"/>
    <w:rsid w:val="00090B24"/>
    <w:rsid w:val="000966B1"/>
    <w:rsid w:val="000A72C1"/>
    <w:rsid w:val="000E30CF"/>
    <w:rsid w:val="000E4AE3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1550F"/>
    <w:rsid w:val="0022387E"/>
    <w:rsid w:val="002620CA"/>
    <w:rsid w:val="00277494"/>
    <w:rsid w:val="00296F65"/>
    <w:rsid w:val="002A7DB7"/>
    <w:rsid w:val="002C4B28"/>
    <w:rsid w:val="002E7F8F"/>
    <w:rsid w:val="002E7F95"/>
    <w:rsid w:val="002F4B02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94607"/>
    <w:rsid w:val="003B1E0D"/>
    <w:rsid w:val="003B2AB6"/>
    <w:rsid w:val="003B6A04"/>
    <w:rsid w:val="003F37ED"/>
    <w:rsid w:val="003F5F15"/>
    <w:rsid w:val="004033E7"/>
    <w:rsid w:val="00403473"/>
    <w:rsid w:val="00413420"/>
    <w:rsid w:val="0046430E"/>
    <w:rsid w:val="00464391"/>
    <w:rsid w:val="00473B1A"/>
    <w:rsid w:val="00481CA1"/>
    <w:rsid w:val="00497E3B"/>
    <w:rsid w:val="004E48D2"/>
    <w:rsid w:val="005011C4"/>
    <w:rsid w:val="00506D1B"/>
    <w:rsid w:val="00515E1E"/>
    <w:rsid w:val="00525951"/>
    <w:rsid w:val="00535E7A"/>
    <w:rsid w:val="005379C3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81409"/>
    <w:rsid w:val="006A1124"/>
    <w:rsid w:val="006A4EF7"/>
    <w:rsid w:val="006C6247"/>
    <w:rsid w:val="006D0906"/>
    <w:rsid w:val="006F2BDA"/>
    <w:rsid w:val="006F43A4"/>
    <w:rsid w:val="006F62B7"/>
    <w:rsid w:val="006F79F0"/>
    <w:rsid w:val="00707C3A"/>
    <w:rsid w:val="007247B0"/>
    <w:rsid w:val="00736273"/>
    <w:rsid w:val="00747575"/>
    <w:rsid w:val="00761C9B"/>
    <w:rsid w:val="00775724"/>
    <w:rsid w:val="007A568C"/>
    <w:rsid w:val="007A6033"/>
    <w:rsid w:val="007A6B12"/>
    <w:rsid w:val="007A6C4A"/>
    <w:rsid w:val="007C662E"/>
    <w:rsid w:val="007C7255"/>
    <w:rsid w:val="007E0AC1"/>
    <w:rsid w:val="007E14B4"/>
    <w:rsid w:val="007E2623"/>
    <w:rsid w:val="007F0A4E"/>
    <w:rsid w:val="00823409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73BD7"/>
    <w:rsid w:val="008833FC"/>
    <w:rsid w:val="008B3409"/>
    <w:rsid w:val="008B7554"/>
    <w:rsid w:val="008E1571"/>
    <w:rsid w:val="008E22A7"/>
    <w:rsid w:val="008F0611"/>
    <w:rsid w:val="008F2505"/>
    <w:rsid w:val="008F3631"/>
    <w:rsid w:val="00902096"/>
    <w:rsid w:val="00924CEC"/>
    <w:rsid w:val="00927384"/>
    <w:rsid w:val="009342CD"/>
    <w:rsid w:val="00957AAE"/>
    <w:rsid w:val="00971810"/>
    <w:rsid w:val="00974D48"/>
    <w:rsid w:val="00977584"/>
    <w:rsid w:val="00981053"/>
    <w:rsid w:val="009866BA"/>
    <w:rsid w:val="0099649C"/>
    <w:rsid w:val="009C058A"/>
    <w:rsid w:val="009E59D0"/>
    <w:rsid w:val="009E7939"/>
    <w:rsid w:val="009F509B"/>
    <w:rsid w:val="00A01894"/>
    <w:rsid w:val="00A13A06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03C31"/>
    <w:rsid w:val="00B11073"/>
    <w:rsid w:val="00B3216A"/>
    <w:rsid w:val="00B3303B"/>
    <w:rsid w:val="00B43EE1"/>
    <w:rsid w:val="00B507E7"/>
    <w:rsid w:val="00B51D75"/>
    <w:rsid w:val="00B64EF2"/>
    <w:rsid w:val="00B74559"/>
    <w:rsid w:val="00B809B1"/>
    <w:rsid w:val="00B817EE"/>
    <w:rsid w:val="00B819F7"/>
    <w:rsid w:val="00B83134"/>
    <w:rsid w:val="00BA19E4"/>
    <w:rsid w:val="00BB1299"/>
    <w:rsid w:val="00BB1997"/>
    <w:rsid w:val="00BB7429"/>
    <w:rsid w:val="00BC3FCA"/>
    <w:rsid w:val="00BC6BBC"/>
    <w:rsid w:val="00BD129A"/>
    <w:rsid w:val="00BE42CB"/>
    <w:rsid w:val="00BF3138"/>
    <w:rsid w:val="00C60D85"/>
    <w:rsid w:val="00C80E8B"/>
    <w:rsid w:val="00C87D8A"/>
    <w:rsid w:val="00C96683"/>
    <w:rsid w:val="00CA2C69"/>
    <w:rsid w:val="00CA3517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40DBA"/>
    <w:rsid w:val="00D523C5"/>
    <w:rsid w:val="00D629B4"/>
    <w:rsid w:val="00D712ED"/>
    <w:rsid w:val="00D71D5F"/>
    <w:rsid w:val="00D7799F"/>
    <w:rsid w:val="00D81112"/>
    <w:rsid w:val="00D85C44"/>
    <w:rsid w:val="00D86CCC"/>
    <w:rsid w:val="00DA6977"/>
    <w:rsid w:val="00DB47EA"/>
    <w:rsid w:val="00DB6038"/>
    <w:rsid w:val="00DC259C"/>
    <w:rsid w:val="00DC50C1"/>
    <w:rsid w:val="00DF30D8"/>
    <w:rsid w:val="00DF40AA"/>
    <w:rsid w:val="00E01D49"/>
    <w:rsid w:val="00E179B4"/>
    <w:rsid w:val="00E24093"/>
    <w:rsid w:val="00E33D67"/>
    <w:rsid w:val="00E4343E"/>
    <w:rsid w:val="00E50786"/>
    <w:rsid w:val="00E5763D"/>
    <w:rsid w:val="00E71B59"/>
    <w:rsid w:val="00F35F3A"/>
    <w:rsid w:val="00F4171C"/>
    <w:rsid w:val="00F61952"/>
    <w:rsid w:val="00F61CBE"/>
    <w:rsid w:val="00F61D0C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2019-09-26T20:34:00Z</cp:lastPrinted>
  <dcterms:created xsi:type="dcterms:W3CDTF">2019-09-26T20:53:00Z</dcterms:created>
  <dcterms:modified xsi:type="dcterms:W3CDTF">2019-09-26T20:53:00Z</dcterms:modified>
</cp:coreProperties>
</file>