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BRUNO BASTOS LESSA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Projeto de Decreto Legislativo Nº 00094/2019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Concede a medalha Felisberto de Carvalho a Exmo. Sr. Dr. Juiz de Direito Alexandre Chini, por seus relevantes serviços prestados ao ensino do Direito e preservação da legalidade.</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Art. 1º Fica concedida a medalha Felisberto de Carvalho ao Exmo. Sr. Dr. Juiz de Direito Alexandre Chini.
</w:t>
      </w:r>
      <w:r>
        <w:rPr>
          <w:rFonts w:asciiTheme="minorHAnsi" w:hAnsiTheme="minorHAnsi" w:cstheme="minorHAnsi"/>
          <w:sz w:val="24"/>
        </w:rPr>
        <w:br/>
      </w:r>
      <w:r>
        <w:rPr>
          <w:rFonts w:asciiTheme="minorHAnsi" w:hAnsiTheme="minorHAnsi" w:cstheme="minorHAnsi"/>
          <w:sz w:val="24"/>
        </w:rPr>
        <w:tab/>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Art. 2º Este decreto entrará em vigor na data de sua publicação.</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Graduado e pós-graduado em Direito pela Universidade Gama Filho - UGF, concluiu o Curso de Direito do Consumo na Université Du Québec à Montreal - QUÀM e na Escola Superior de Ciências do Consumo de Coimbra. 
</w:t>
      </w:r>
      <w:r>
        <w:rPr>
          <w:rFonts w:asciiTheme="minorHAnsi" w:hAnsiTheme="minorHAnsi" w:cstheme="minorHAnsi"/>
          <w:sz w:val="24"/>
        </w:rPr>
        <w:br/>
      </w:r>
      <w:r>
        <w:rPr>
          <w:rFonts w:asciiTheme="minorHAnsi" w:hAnsiTheme="minorHAnsi" w:cstheme="minorHAnsi"/>
          <w:sz w:val="24"/>
        </w:rPr>
        <w:t>Professor da Graduação e da Pós-Graduação na Universidade Salgado de Oliveira, membro da Banca Examinadora do 2° processo seletivo para a função de Juiz Leigo no âmbito dos Juizados Especiais Cíveis do Poder Judiciário do Estado do Rio de Janeiro. Membro do Fórum Permanente de História do Direito da Escola da Magistratura do Estado do Rio de Janeiro e Membro Titular da Academia Fluminense de Letras.
</w:t>
      </w:r>
      <w:r>
        <w:rPr>
          <w:rFonts w:asciiTheme="minorHAnsi" w:hAnsiTheme="minorHAnsi" w:cstheme="minorHAnsi"/>
          <w:sz w:val="24"/>
        </w:rPr>
        <w:br/>
      </w:r>
      <w:r>
        <w:rPr>
          <w:rFonts w:asciiTheme="minorHAnsi" w:hAnsiTheme="minorHAnsi" w:cstheme="minorHAnsi"/>
          <w:sz w:val="24"/>
        </w:rPr>
        <w:t>Diretor Adjunto do Instituto Brasileiro de Política e Direito do Consumidor, Secretário Geral do Fórum Nacional de Juizados Especiais e Membro Assessor da Diretoria da Escola Nacional da Magistratura, para assuntos relacionados aos Juizados Especiais.
</w:t>
      </w:r>
      <w:r>
        <w:rPr>
          <w:rFonts w:asciiTheme="minorHAnsi" w:hAnsiTheme="minorHAnsi" w:cstheme="minorHAnsi"/>
          <w:sz w:val="24"/>
        </w:rPr>
        <w:br/>
      </w:r>
      <w:r>
        <w:rPr>
          <w:rFonts w:asciiTheme="minorHAnsi" w:hAnsiTheme="minorHAnsi" w:cstheme="minorHAnsi"/>
          <w:sz w:val="24"/>
        </w:rPr>
        <w:t>Juiz Auxiliar da Corregedoria Nacional de Justiça do Conselho Nacional de Justiça.
</w:t>
      </w:r>
      <w:r>
        <w:rPr>
          <w:rFonts w:asciiTheme="minorHAnsi" w:hAnsiTheme="minorHAnsi" w:cstheme="minorHAnsi"/>
          <w:sz w:val="24"/>
        </w:rPr>
        <w:br/>
      </w:r>
      <w:r>
        <w:rPr>
          <w:rFonts w:asciiTheme="minorHAnsi" w:hAnsiTheme="minorHAnsi" w:cstheme="minorHAnsi"/>
          <w:sz w:val="24"/>
        </w:rPr>
        <w:t>Por todo o exposto justifica-se a presente homenagem.</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29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BRUNO BASTOS LESSA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EAF" w:rsidRDefault="00D56EAF">
      <w:r>
        <w:separator/>
      </w:r>
    </w:p>
  </w:endnote>
  <w:endnote w:type="continuationSeparator" w:id="1">
    <w:p w:rsidR="00D56EAF" w:rsidRDefault="00D56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EAF" w:rsidRDefault="00D56EAF">
      <w:r>
        <w:separator/>
      </w:r>
    </w:p>
  </w:footnote>
  <w:footnote w:type="continuationSeparator" w:id="1">
    <w:p w:rsidR="00D56EAF" w:rsidRDefault="00D56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380"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76F47"/>
    <w:rsid w:val="007C7D63"/>
    <w:rsid w:val="007F3678"/>
    <w:rsid w:val="007F7D3A"/>
    <w:rsid w:val="00822784"/>
    <w:rsid w:val="008439AD"/>
    <w:rsid w:val="00845167"/>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2014-02-20T14:20:00Z</dcterms:created>
  <dcterms:modified xsi:type="dcterms:W3CDTF">2014-02-20T14:20:00Z</dcterms:modified>
</cp:coreProperties>
</file>