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F65611">
        <w:rPr>
          <w:rFonts w:ascii="Myriad Pro" w:eastAsia="Arial Unicode MS" w:hAnsi="Myriad Pro"/>
          <w:bCs w:val="0"/>
          <w:u w:val="single"/>
        </w:rPr>
        <w:t>8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BC1BB7" w:rsidRDefault="00BC1BB7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DD4C4C" w:rsidRDefault="00DD4C4C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D95CB6" w:rsidRPr="00510EE4" w:rsidRDefault="00D95CB6" w:rsidP="00D95CB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</w:t>
      </w:r>
      <w:r w:rsidR="004C6081">
        <w:rPr>
          <w:rFonts w:ascii="Myriad Pro" w:hAnsi="Myriad Pro" w:cs="Arial"/>
          <w:b/>
          <w:bCs/>
          <w:sz w:val="26"/>
          <w:szCs w:val="26"/>
        </w:rPr>
        <w:t>9</w:t>
      </w:r>
      <w:bookmarkStart w:id="0" w:name="_GoBack"/>
      <w:bookmarkEnd w:id="0"/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>
        <w:rPr>
          <w:rFonts w:ascii="Myriad Pro" w:hAnsi="Myriad Pro" w:cs="Arial"/>
          <w:b/>
          <w:bCs/>
          <w:sz w:val="26"/>
          <w:szCs w:val="26"/>
        </w:rPr>
        <w:t xml:space="preserve"> EM REGIME DE URGÊNCIA</w:t>
      </w:r>
    </w:p>
    <w:p w:rsidR="00D95CB6" w:rsidRPr="00510EE4" w:rsidRDefault="00D95CB6" w:rsidP="00D95CB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D95CB6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FICA CRIADA A ADMINISTRAÇÃO REGIONAL DE CUBANGO, SANTA ROSA E VITAL BRAZIL.</w:t>
      </w:r>
    </w:p>
    <w:p w:rsidR="001A0B5D" w:rsidRDefault="00D95CB6" w:rsidP="00D95CB6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N°36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D95CB6" w:rsidRPr="00510EE4" w:rsidRDefault="00D95CB6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510EE4" w:rsidRDefault="00510EE4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DD4C4C" w:rsidRPr="00510EE4" w:rsidRDefault="00DD4C4C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B5EEE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9F1861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  <w:r>
        <w:rPr>
          <w:rFonts w:ascii="Myriad Pro" w:hAnsi="Myriad Pro" w:cs="Arial"/>
          <w:b/>
          <w:bCs/>
          <w:sz w:val="26"/>
          <w:szCs w:val="26"/>
        </w:rPr>
        <w:tab/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F1861" w:rsidRPr="00510EE4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BC1BB7" w:rsidRPr="00510EE4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0" w:rsidRDefault="00AC6E40">
      <w:r>
        <w:separator/>
      </w:r>
    </w:p>
  </w:endnote>
  <w:endnote w:type="continuationSeparator" w:id="0">
    <w:p w:rsidR="00AC6E40" w:rsidRDefault="00A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0" w:rsidRDefault="00AC6E40">
      <w:r>
        <w:separator/>
      </w:r>
    </w:p>
  </w:footnote>
  <w:footnote w:type="continuationSeparator" w:id="0">
    <w:p w:rsidR="00AC6E40" w:rsidRDefault="00AC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C6E40" w:rsidRDefault="00AC6E4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51C4"/>
    <w:rsid w:val="009C5816"/>
    <w:rsid w:val="009C7BF0"/>
    <w:rsid w:val="009D04C1"/>
    <w:rsid w:val="009E41E3"/>
    <w:rsid w:val="009E4BCB"/>
    <w:rsid w:val="009F0723"/>
    <w:rsid w:val="009F0EA3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1BC0-5834-450E-BEC3-AD3C736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13</cp:revision>
  <cp:lastPrinted>2019-12-04T14:36:00Z</cp:lastPrinted>
  <dcterms:created xsi:type="dcterms:W3CDTF">2019-12-12T20:57:00Z</dcterms:created>
  <dcterms:modified xsi:type="dcterms:W3CDTF">2019-12-17T22:43:00Z</dcterms:modified>
</cp:coreProperties>
</file>