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833E40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</w:t>
      </w:r>
      <w:r w:rsidR="002F7A03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4</w:t>
      </w:r>
      <w:bookmarkStart w:id="0" w:name="_GoBack"/>
      <w:bookmarkEnd w:id="0"/>
      <w:r w:rsidR="00833E40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/03/2024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947CD6" w:rsidRDefault="00947CD6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947CD6" w:rsidRDefault="00947CD6" w:rsidP="00947CD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221/2023 </w:t>
      </w:r>
    </w:p>
    <w:p w:rsidR="00947CD6" w:rsidRPr="00CB385B" w:rsidRDefault="00947CD6" w:rsidP="00947CD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140E8">
        <w:rPr>
          <w:rFonts w:ascii="Ebrima" w:hAnsi="Ebrima" w:cs="Arial"/>
          <w:color w:val="000000"/>
          <w:sz w:val="22"/>
          <w:szCs w:val="22"/>
        </w:rPr>
        <w:t>DISPÕE SOBRE A LEI URBANÍSTICA DE NITERÓI, SEU ZONEAMENTO, A APLICAÇÃO DE INSTRUMENTOS DE POLÍTICA URBANA E AS REGRAS GERAIS DE LICENCIAMENTO DA ATIVIDADE EDILÍCIA E DE FISCALIZAÇÃO DA EXECUÇÃO DE OBRAS.</w:t>
      </w:r>
    </w:p>
    <w:p w:rsidR="00947CD6" w:rsidRDefault="00947CD6" w:rsidP="00947CD6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024/2023</w:t>
      </w:r>
    </w:p>
    <w:p w:rsidR="00947CD6" w:rsidRPr="00150BEA" w:rsidRDefault="00947CD6" w:rsidP="00B130FA">
      <w:pPr>
        <w:rPr>
          <w:rFonts w:ascii="Ebrima" w:hAnsi="Ebrima" w:cs="Arial"/>
          <w:b/>
          <w:color w:val="000000"/>
          <w:sz w:val="24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2F7A03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3E40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B348-65CF-478F-A09F-A32AE74D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3</cp:revision>
  <cp:lastPrinted>2024-03-11T17:16:00Z</cp:lastPrinted>
  <dcterms:created xsi:type="dcterms:W3CDTF">2024-03-11T17:16:00Z</dcterms:created>
  <dcterms:modified xsi:type="dcterms:W3CDTF">2024-03-12T22:22:00Z</dcterms:modified>
</cp:coreProperties>
</file>